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AC4B3">
      <w:pPr>
        <w:widowControl/>
        <w:spacing w:line="440" w:lineRule="atLeast"/>
        <w:ind w:firstLine="301" w:firstLineChars="100"/>
        <w:jc w:val="left"/>
        <w:rPr>
          <w:rFonts w:hint="eastAsia" w:ascii="宋体" w:hAnsi="宋体" w:eastAsia="宋体" w:cs="宋体"/>
          <w:b/>
          <w:bCs/>
          <w:color w:val="auto"/>
          <w:kern w:val="0"/>
          <w:sz w:val="30"/>
          <w:lang w:val="en-US" w:eastAsia="zh-CN"/>
        </w:rPr>
      </w:pPr>
      <w:r>
        <w:rPr>
          <w:rFonts w:hint="eastAsia" w:ascii="宋体" w:hAnsi="宋体" w:eastAsia="宋体" w:cs="宋体"/>
          <w:b/>
          <w:bCs/>
          <w:color w:val="auto"/>
          <w:kern w:val="0"/>
          <w:sz w:val="30"/>
          <w:lang w:eastAsia="zh-CN"/>
        </w:rPr>
        <w:t>2026</w:t>
      </w:r>
      <w:r>
        <w:rPr>
          <w:rFonts w:hint="eastAsia" w:ascii="宋体" w:hAnsi="宋体" w:eastAsia="宋体" w:cs="宋体"/>
          <w:b/>
          <w:bCs/>
          <w:color w:val="auto"/>
          <w:kern w:val="0"/>
          <w:sz w:val="30"/>
        </w:rPr>
        <w:t>年德州大学奥斯汀分校</w:t>
      </w:r>
      <w:r>
        <w:rPr>
          <w:rFonts w:hint="eastAsia" w:ascii="宋体" w:hAnsi="宋体" w:eastAsia="宋体" w:cs="宋体"/>
          <w:b/>
          <w:bCs/>
          <w:color w:val="auto"/>
          <w:kern w:val="0"/>
          <w:sz w:val="30"/>
          <w:lang w:val="en-US" w:eastAsia="zh-CN"/>
        </w:rPr>
        <w:t>暑假</w:t>
      </w:r>
      <w:r>
        <w:rPr>
          <w:rFonts w:hint="eastAsia" w:ascii="宋体" w:hAnsi="宋体" w:eastAsia="宋体" w:cs="宋体"/>
          <w:b/>
          <w:bCs/>
          <w:color w:val="auto"/>
          <w:kern w:val="0"/>
          <w:sz w:val="30"/>
          <w:lang w:eastAsia="zh-CN"/>
        </w:rPr>
        <w:t>国际学术</w:t>
      </w:r>
      <w:r>
        <w:rPr>
          <w:rFonts w:hint="eastAsia" w:ascii="宋体" w:hAnsi="宋体" w:eastAsia="宋体" w:cs="宋体"/>
          <w:b/>
          <w:bCs/>
          <w:color w:val="auto"/>
          <w:kern w:val="0"/>
          <w:sz w:val="30"/>
        </w:rPr>
        <w:t>课程报名</w:t>
      </w:r>
      <w:r>
        <w:rPr>
          <w:rFonts w:hint="eastAsia" w:ascii="宋体" w:hAnsi="宋体" w:eastAsia="宋体" w:cs="宋体"/>
          <w:b/>
          <w:bCs/>
          <w:color w:val="auto"/>
          <w:kern w:val="0"/>
          <w:sz w:val="30"/>
          <w:lang w:val="en-US" w:eastAsia="zh-CN"/>
        </w:rPr>
        <w:t>启动</w:t>
      </w:r>
    </w:p>
    <w:p w14:paraId="23DB13ED">
      <w:pPr>
        <w:widowControl/>
        <w:spacing w:line="440" w:lineRule="atLeast"/>
        <w:jc w:val="left"/>
        <w:rPr>
          <w:rFonts w:hint="eastAsia" w:ascii="宋体" w:hAnsi="宋体" w:eastAsia="宋体" w:cs="宋体"/>
          <w:b/>
          <w:bCs/>
          <w:color w:val="0673C8"/>
          <w:kern w:val="0"/>
          <w:sz w:val="30"/>
          <w:lang w:val="en-US" w:eastAsia="zh-CN"/>
        </w:rPr>
      </w:pPr>
    </w:p>
    <w:p w14:paraId="3A634939">
      <w:pPr>
        <w:widowControl/>
        <w:spacing w:line="440" w:lineRule="atLeast"/>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美国德州大学奥斯汀分校</w:t>
      </w:r>
      <w:r>
        <w:rPr>
          <w:rFonts w:hint="eastAsia" w:ascii="宋体" w:hAnsi="宋体" w:eastAsia="宋体" w:cs="宋体"/>
          <w:kern w:val="0"/>
          <w:sz w:val="24"/>
          <w:szCs w:val="24"/>
          <w:lang w:eastAsia="zh-CN"/>
        </w:rPr>
        <w:t>（简称奥斯汀分校）</w:t>
      </w:r>
      <w:r>
        <w:rPr>
          <w:rFonts w:hint="eastAsia" w:ascii="宋体" w:hAnsi="宋体" w:eastAsia="宋体" w:cs="宋体"/>
          <w:kern w:val="0"/>
          <w:sz w:val="24"/>
          <w:szCs w:val="24"/>
          <w:lang w:val="en-US" w:eastAsia="zh-CN"/>
        </w:rPr>
        <w:t>是一所世界排名前五十左右的美国顶级高校，也是我校的重点合作高校。</w:t>
      </w:r>
      <w:r>
        <w:rPr>
          <w:rFonts w:hint="eastAsia" w:ascii="宋体" w:hAnsi="宋体" w:eastAsia="宋体" w:cs="宋体"/>
          <w:kern w:val="0"/>
          <w:sz w:val="24"/>
          <w:szCs w:val="24"/>
        </w:rPr>
        <w:t>根据我校与奥斯汀分校</w:t>
      </w:r>
      <w:r>
        <w:rPr>
          <w:rFonts w:hint="eastAsia" w:ascii="宋体" w:hAnsi="宋体" w:eastAsia="宋体" w:cs="宋体"/>
          <w:kern w:val="0"/>
          <w:sz w:val="24"/>
          <w:szCs w:val="24"/>
          <w:lang w:val="en-US" w:eastAsia="zh-CN"/>
        </w:rPr>
        <w:t>合作交流协议</w:t>
      </w:r>
      <w:r>
        <w:rPr>
          <w:rFonts w:hint="eastAsia" w:ascii="宋体" w:hAnsi="宋体" w:eastAsia="宋体" w:cs="宋体"/>
          <w:kern w:val="0"/>
          <w:sz w:val="24"/>
          <w:szCs w:val="24"/>
        </w:rPr>
        <w:t>，现拟选派</w:t>
      </w:r>
      <w:r>
        <w:rPr>
          <w:rFonts w:hint="eastAsia" w:ascii="宋体" w:hAnsi="宋体" w:eastAsia="宋体" w:cs="宋体"/>
          <w:kern w:val="0"/>
          <w:sz w:val="24"/>
          <w:szCs w:val="24"/>
          <w:lang w:eastAsia="zh-CN"/>
        </w:rPr>
        <w:t>学生</w:t>
      </w:r>
      <w:r>
        <w:rPr>
          <w:rFonts w:hint="eastAsia" w:ascii="宋体" w:hAnsi="宋体" w:eastAsia="宋体" w:cs="宋体"/>
          <w:kern w:val="0"/>
          <w:sz w:val="24"/>
          <w:szCs w:val="24"/>
        </w:rPr>
        <w:t>于</w:t>
      </w:r>
      <w:r>
        <w:rPr>
          <w:rFonts w:hint="eastAsia" w:ascii="Calibri" w:hAnsi="Calibri" w:eastAsia="宋体" w:cs="Calibri"/>
          <w:kern w:val="0"/>
          <w:sz w:val="24"/>
          <w:szCs w:val="24"/>
          <w:lang w:eastAsia="zh-CN"/>
        </w:rPr>
        <w:t>2026</w:t>
      </w:r>
      <w:r>
        <w:rPr>
          <w:rFonts w:hint="eastAsia" w:ascii="宋体" w:hAnsi="宋体" w:eastAsia="宋体" w:cs="宋体"/>
          <w:kern w:val="0"/>
          <w:sz w:val="24"/>
          <w:szCs w:val="24"/>
        </w:rPr>
        <w:t>年</w:t>
      </w:r>
      <w:r>
        <w:rPr>
          <w:rFonts w:hint="eastAsia" w:ascii="宋体" w:hAnsi="宋体" w:eastAsia="宋体" w:cs="宋体"/>
          <w:kern w:val="0"/>
          <w:sz w:val="24"/>
          <w:szCs w:val="24"/>
          <w:lang w:val="en-US" w:eastAsia="zh-CN"/>
        </w:rPr>
        <w:t>暑假</w:t>
      </w:r>
      <w:r>
        <w:rPr>
          <w:rFonts w:hint="eastAsia" w:ascii="宋体" w:hAnsi="宋体" w:eastAsia="宋体" w:cs="宋体"/>
          <w:kern w:val="0"/>
          <w:sz w:val="24"/>
          <w:szCs w:val="24"/>
          <w:lang w:eastAsia="zh-CN"/>
        </w:rPr>
        <w:t>期间参加</w:t>
      </w:r>
      <w:r>
        <w:rPr>
          <w:rFonts w:hint="eastAsia" w:asciiTheme="minorEastAsia" w:hAnsiTheme="minorEastAsia" w:cstheme="minorHAnsi"/>
          <w:sz w:val="24"/>
          <w:szCs w:val="24"/>
        </w:rPr>
        <w:t>国际学术</w:t>
      </w:r>
      <w:r>
        <w:rPr>
          <w:rFonts w:hint="eastAsia" w:ascii="宋体" w:hAnsi="宋体" w:eastAsia="宋体" w:cs="宋体"/>
          <w:kern w:val="0"/>
          <w:sz w:val="24"/>
          <w:szCs w:val="24"/>
          <w:lang w:eastAsia="zh-CN"/>
        </w:rPr>
        <w:t>课程项目，让学生可以利用</w:t>
      </w:r>
      <w:r>
        <w:rPr>
          <w:rFonts w:hint="eastAsia" w:ascii="宋体" w:hAnsi="宋体" w:eastAsia="宋体" w:cs="宋体"/>
          <w:kern w:val="0"/>
          <w:sz w:val="24"/>
          <w:szCs w:val="24"/>
          <w:lang w:val="en-US" w:eastAsia="zh-CN"/>
        </w:rPr>
        <w:t>假期</w:t>
      </w:r>
      <w:r>
        <w:rPr>
          <w:rFonts w:hint="eastAsia" w:ascii="宋体" w:hAnsi="宋体" w:eastAsia="宋体" w:cs="宋体"/>
          <w:kern w:val="0"/>
          <w:sz w:val="24"/>
          <w:szCs w:val="24"/>
          <w:lang w:val="en-CA" w:eastAsia="zh-CN"/>
        </w:rPr>
        <w:t>深度探索</w:t>
      </w:r>
      <w:r>
        <w:rPr>
          <w:rFonts w:hint="eastAsia" w:ascii="宋体" w:hAnsi="宋体" w:eastAsia="宋体" w:cs="宋体"/>
          <w:kern w:val="0"/>
          <w:sz w:val="24"/>
          <w:szCs w:val="24"/>
          <w:lang w:val="en-US" w:eastAsia="zh-CN"/>
        </w:rPr>
        <w:t>学科</w:t>
      </w:r>
      <w:r>
        <w:rPr>
          <w:rFonts w:hint="eastAsia" w:ascii="宋体" w:hAnsi="宋体" w:eastAsia="宋体" w:cs="宋体"/>
          <w:kern w:val="0"/>
          <w:sz w:val="24"/>
          <w:szCs w:val="24"/>
          <w:lang w:val="en-CA" w:eastAsia="zh-CN"/>
        </w:rPr>
        <w:t>前沿的研究领域知识、</w:t>
      </w:r>
      <w:r>
        <w:rPr>
          <w:rFonts w:hint="eastAsia" w:ascii="宋体" w:hAnsi="宋体" w:eastAsia="宋体" w:cs="宋体"/>
          <w:kern w:val="0"/>
          <w:sz w:val="24"/>
          <w:szCs w:val="24"/>
          <w:lang w:eastAsia="zh-CN"/>
        </w:rPr>
        <w:t>适应美国顶级高校教学风格、</w:t>
      </w:r>
      <w:r>
        <w:rPr>
          <w:rFonts w:hint="eastAsia" w:ascii="宋体" w:hAnsi="宋体" w:eastAsia="宋体" w:cs="宋体"/>
          <w:kern w:val="0"/>
          <w:sz w:val="24"/>
          <w:szCs w:val="24"/>
          <w:lang w:val="en-US" w:eastAsia="zh-CN"/>
        </w:rPr>
        <w:t>同时</w:t>
      </w:r>
      <w:r>
        <w:rPr>
          <w:rFonts w:hint="eastAsia" w:ascii="宋体" w:hAnsi="宋体" w:eastAsia="宋体" w:cs="宋体"/>
          <w:kern w:val="0"/>
          <w:sz w:val="24"/>
          <w:szCs w:val="24"/>
          <w:lang w:eastAsia="zh-CN"/>
        </w:rPr>
        <w:t>感受美国的文化和学术氛围。</w:t>
      </w:r>
      <w:r>
        <w:rPr>
          <w:rFonts w:hint="eastAsia" w:ascii="宋体" w:hAnsi="宋体" w:eastAsia="宋体" w:cs="宋体"/>
          <w:kern w:val="0"/>
          <w:sz w:val="24"/>
          <w:szCs w:val="24"/>
        </w:rPr>
        <w:t>现启动申请工作。</w:t>
      </w:r>
    </w:p>
    <w:p w14:paraId="75A54179">
      <w:pPr>
        <w:widowControl/>
        <w:spacing w:line="440" w:lineRule="atLeast"/>
        <w:ind w:firstLine="480"/>
        <w:jc w:val="left"/>
        <w:rPr>
          <w:rFonts w:hint="eastAsia" w:ascii="宋体" w:hAnsi="宋体" w:eastAsia="宋体" w:cs="宋体"/>
          <w:kern w:val="0"/>
          <w:sz w:val="24"/>
          <w:szCs w:val="24"/>
        </w:rPr>
      </w:pPr>
    </w:p>
    <w:p w14:paraId="7B26362B">
      <w:pPr>
        <w:widowControl/>
        <w:spacing w:line="400" w:lineRule="atLeast"/>
        <w:jc w:val="left"/>
        <w:rPr>
          <w:rFonts w:ascii="宋体" w:hAnsi="宋体" w:eastAsia="宋体" w:cs="宋体"/>
          <w:b/>
          <w:bCs/>
          <w:kern w:val="0"/>
          <w:sz w:val="28"/>
          <w:szCs w:val="28"/>
        </w:rPr>
      </w:pPr>
      <w:r>
        <w:rPr>
          <w:rFonts w:hint="eastAsia" w:ascii="宋体" w:hAnsi="宋体" w:eastAsia="宋体" w:cs="宋体"/>
          <w:b/>
          <w:bCs/>
          <w:kern w:val="0"/>
          <w:sz w:val="28"/>
          <w:szCs w:val="28"/>
        </w:rPr>
        <w:t>一、</w:t>
      </w:r>
      <w:r>
        <w:rPr>
          <w:rFonts w:hint="eastAsia" w:ascii="宋体" w:hAnsi="宋体" w:eastAsia="宋体" w:cs="宋体"/>
          <w:b/>
          <w:bCs/>
          <w:kern w:val="0"/>
          <w:sz w:val="28"/>
          <w:szCs w:val="28"/>
          <w:lang w:eastAsia="zh-CN"/>
        </w:rPr>
        <w:t>奥斯汀</w:t>
      </w:r>
      <w:r>
        <w:rPr>
          <w:rFonts w:hint="eastAsia" w:ascii="宋体" w:hAnsi="宋体" w:eastAsia="宋体" w:cs="宋体"/>
          <w:b/>
          <w:bCs/>
          <w:kern w:val="0"/>
          <w:sz w:val="28"/>
          <w:szCs w:val="28"/>
        </w:rPr>
        <w:t>分校简介：</w:t>
      </w:r>
    </w:p>
    <w:p w14:paraId="23F39165">
      <w:pPr>
        <w:widowControl/>
        <w:spacing w:line="400" w:lineRule="atLeast"/>
        <w:ind w:firstLine="480" w:firstLineChars="200"/>
        <w:jc w:val="left"/>
        <w:rPr>
          <w:rFonts w:hint="eastAsia" w:asciiTheme="minorEastAsia" w:hAnsiTheme="minorEastAsia" w:cstheme="minorHAnsi"/>
          <w:sz w:val="24"/>
          <w:szCs w:val="24"/>
        </w:rPr>
      </w:pPr>
      <w:r>
        <w:rPr>
          <w:rFonts w:hint="eastAsia" w:asciiTheme="minorEastAsia" w:hAnsiTheme="minorEastAsia" w:cstheme="minorHAnsi"/>
          <w:sz w:val="24"/>
          <w:szCs w:val="24"/>
        </w:rPr>
        <w:t xml:space="preserve">德州奥斯汀分校（The University of Texas at Austin，简称UT）成立于1883年，位于德克萨斯州奥斯汀市，美国最负盛名的“公立常青藤（Public Ivy）院校之一。在最新U.S.NEWS &amp; World Report </w:t>
      </w:r>
      <w:r>
        <w:rPr>
          <w:rFonts w:hint="eastAsia" w:asciiTheme="minorEastAsia" w:hAnsiTheme="minorEastAsia" w:cstheme="minorHAnsi"/>
          <w:sz w:val="24"/>
          <w:szCs w:val="24"/>
          <w:lang w:eastAsia="zh-CN"/>
        </w:rPr>
        <w:t>2026</w:t>
      </w:r>
      <w:r>
        <w:rPr>
          <w:rFonts w:hint="eastAsia" w:asciiTheme="minorEastAsia" w:hAnsiTheme="minorEastAsia" w:cstheme="minorHAnsi"/>
          <w:sz w:val="24"/>
          <w:szCs w:val="24"/>
        </w:rPr>
        <w:t xml:space="preserve">年美国大学综合排名中名列30位，全美公立大学第7位，QS </w:t>
      </w:r>
      <w:r>
        <w:rPr>
          <w:rFonts w:hint="eastAsia" w:asciiTheme="minorEastAsia" w:hAnsiTheme="minorEastAsia" w:cstheme="minorHAnsi"/>
          <w:sz w:val="24"/>
          <w:szCs w:val="24"/>
          <w:lang w:eastAsia="zh-CN"/>
        </w:rPr>
        <w:t>2026</w:t>
      </w:r>
      <w:r>
        <w:rPr>
          <w:rFonts w:hint="eastAsia" w:asciiTheme="minorEastAsia" w:hAnsiTheme="minorEastAsia" w:cstheme="minorHAnsi"/>
          <w:sz w:val="24"/>
          <w:szCs w:val="24"/>
        </w:rPr>
        <w:t>年世界大学排名第66位。UT共有13位诺贝尔奖、2位图灵奖、18位普利策新闻奖得主、35位美国国家科学院院士、52位美国艺术与科学院院士，以及57位美国国家工程院院士。UT是一所公立研究型大学，也是德州大学系统中的旗舰王牌。</w:t>
      </w:r>
    </w:p>
    <w:p w14:paraId="4BCE6A83">
      <w:pPr>
        <w:widowControl/>
        <w:spacing w:line="400" w:lineRule="atLeast"/>
        <w:ind w:firstLine="480" w:firstLineChars="200"/>
        <w:jc w:val="left"/>
        <w:rPr>
          <w:rFonts w:hint="eastAsia" w:asciiTheme="minorEastAsia" w:hAnsiTheme="minorEastAsia" w:cstheme="minorHAnsi"/>
          <w:sz w:val="24"/>
          <w:szCs w:val="24"/>
          <w:lang w:eastAsia="zh-CN"/>
        </w:rPr>
      </w:pPr>
      <w:r>
        <w:rPr>
          <w:rFonts w:hint="eastAsia" w:asciiTheme="minorEastAsia" w:hAnsiTheme="minorEastAsia" w:cstheme="minorHAnsi"/>
          <w:sz w:val="24"/>
          <w:szCs w:val="24"/>
        </w:rPr>
        <w:t>UT Austin不但拥有美国和世界大学排名的优势，更突出的是在美国大学专业排名上，UT共有19个学院，提供156个本科学位课程和237个研究生专业学位课程。其中15个本科专业排名全美前10，49个研究生专业领域排名全美前10，其中会计、石油工程、地质学、拉丁美洲历史、人口社会学全美第1</w:t>
      </w:r>
      <w:r>
        <w:rPr>
          <w:rFonts w:hint="eastAsia" w:asciiTheme="minorEastAsia" w:hAnsiTheme="minorEastAsia" w:cstheme="minorHAnsi"/>
          <w:sz w:val="24"/>
          <w:szCs w:val="24"/>
          <w:lang w:eastAsia="zh-CN"/>
        </w:rPr>
        <w:t>。</w:t>
      </w:r>
    </w:p>
    <w:p w14:paraId="242820B1">
      <w:pPr>
        <w:widowControl/>
        <w:spacing w:line="400" w:lineRule="atLeast"/>
        <w:ind w:firstLine="480" w:firstLineChars="200"/>
        <w:jc w:val="left"/>
        <w:rPr>
          <w:rFonts w:hint="eastAsia" w:asciiTheme="minorEastAsia" w:hAnsiTheme="minorEastAsia" w:cstheme="minorHAnsi"/>
          <w:sz w:val="24"/>
          <w:szCs w:val="24"/>
          <w:lang w:eastAsia="zh-CN"/>
        </w:rPr>
      </w:pPr>
    </w:p>
    <w:p w14:paraId="60E72D8F">
      <w:pPr>
        <w:widowControl/>
        <w:spacing w:line="400" w:lineRule="atLeast"/>
        <w:jc w:val="left"/>
        <w:rPr>
          <w:rFonts w:ascii="宋体" w:hAnsi="宋体" w:eastAsia="宋体" w:cs="宋体"/>
          <w:b/>
          <w:bCs/>
          <w:kern w:val="0"/>
          <w:sz w:val="28"/>
          <w:szCs w:val="28"/>
        </w:rPr>
      </w:pPr>
      <w:r>
        <w:rPr>
          <w:rFonts w:hint="eastAsia" w:ascii="宋体" w:hAnsi="宋体" w:eastAsia="宋体" w:cs="宋体"/>
          <w:b/>
          <w:bCs/>
          <w:kern w:val="0"/>
          <w:sz w:val="28"/>
          <w:szCs w:val="28"/>
        </w:rPr>
        <w:t>二、项目简介</w:t>
      </w:r>
    </w:p>
    <w:p w14:paraId="65D6B3AE">
      <w:pPr>
        <w:pStyle w:val="6"/>
        <w:spacing w:line="276" w:lineRule="auto"/>
        <w:ind w:firstLine="360" w:firstLineChars="150"/>
        <w:rPr>
          <w:rFonts w:hint="eastAsia" w:asciiTheme="minorEastAsia" w:hAnsiTheme="minorEastAsia" w:cstheme="minorHAnsi"/>
          <w:sz w:val="24"/>
          <w:szCs w:val="24"/>
        </w:rPr>
      </w:pPr>
      <w:r>
        <w:rPr>
          <w:rFonts w:hint="eastAsia" w:asciiTheme="minorEastAsia" w:hAnsiTheme="minorEastAsia" w:cstheme="minorHAnsi"/>
          <w:sz w:val="24"/>
          <w:szCs w:val="24"/>
        </w:rPr>
        <w:t>国际学术课程 (Global Summer Institute) 是德州大学奥斯汀分校每年为来自全世界大学生及研究生定制的暑期学术专业课程。</w:t>
      </w:r>
      <w:r>
        <w:rPr>
          <w:rFonts w:hint="eastAsia" w:asciiTheme="minorEastAsia" w:hAnsiTheme="minorEastAsia" w:cstheme="minorHAnsi"/>
          <w:sz w:val="24"/>
          <w:szCs w:val="24"/>
          <w:lang w:eastAsia="zh-CN"/>
        </w:rPr>
        <w:t>2026</w:t>
      </w:r>
      <w:r>
        <w:rPr>
          <w:rFonts w:hint="eastAsia" w:asciiTheme="minorEastAsia" w:hAnsiTheme="minorEastAsia" w:cstheme="minorHAnsi"/>
          <w:sz w:val="24"/>
          <w:szCs w:val="24"/>
        </w:rPr>
        <w:t>年，The International Academy Program暑期课程将有3个语言课程+1</w:t>
      </w:r>
      <w:r>
        <w:rPr>
          <w:rFonts w:hint="eastAsia" w:asciiTheme="minorEastAsia" w:hAnsiTheme="minorEastAsia" w:cstheme="minorHAnsi"/>
          <w:sz w:val="24"/>
          <w:szCs w:val="24"/>
          <w:lang w:val="en-US" w:eastAsia="zh-CN"/>
        </w:rPr>
        <w:t>2</w:t>
      </w:r>
      <w:r>
        <w:rPr>
          <w:rFonts w:hint="eastAsia" w:asciiTheme="minorEastAsia" w:hAnsiTheme="minorEastAsia" w:cstheme="minorHAnsi"/>
          <w:sz w:val="24"/>
          <w:szCs w:val="24"/>
        </w:rPr>
        <w:t>个学术专业课程可供选择：</w:t>
      </w:r>
    </w:p>
    <w:p w14:paraId="5DF87587">
      <w:pPr>
        <w:pStyle w:val="6"/>
        <w:spacing w:line="276" w:lineRule="auto"/>
        <w:ind w:firstLine="360" w:firstLineChars="150"/>
        <w:rPr>
          <w:rFonts w:hint="eastAsia" w:asciiTheme="minorEastAsia" w:hAnsiTheme="minorEastAsia" w:cstheme="minorHAnsi"/>
          <w:sz w:val="24"/>
          <w:szCs w:val="24"/>
        </w:rPr>
      </w:pPr>
      <w:r>
        <w:rPr>
          <w:rFonts w:hint="eastAsia" w:asciiTheme="minorEastAsia" w:hAnsiTheme="minorEastAsia" w:cstheme="minorHAnsi"/>
          <w:sz w:val="24"/>
          <w:szCs w:val="24"/>
        </w:rPr>
        <w:t>学生必须报读共三门课程，至少有一门是英语课。另外2门可以是下面18个学术专业中选择2门，也可以选择3门英语课中的另外2门。选课示例：</w:t>
      </w:r>
    </w:p>
    <w:p w14:paraId="048705D3">
      <w:pPr>
        <w:pStyle w:val="6"/>
        <w:spacing w:line="276" w:lineRule="auto"/>
        <w:ind w:firstLine="360" w:firstLineChars="150"/>
        <w:rPr>
          <w:rFonts w:hint="eastAsia" w:asciiTheme="minorEastAsia" w:hAnsiTheme="minorEastAsia" w:cstheme="minorHAnsi"/>
          <w:sz w:val="24"/>
          <w:szCs w:val="24"/>
        </w:rPr>
      </w:pPr>
      <w:r>
        <w:rPr>
          <w:rFonts w:hint="eastAsia" w:asciiTheme="minorEastAsia" w:hAnsiTheme="minorEastAsia" w:cstheme="minorHAnsi"/>
          <w:sz w:val="24"/>
          <w:szCs w:val="24"/>
        </w:rPr>
        <w:t>1门英语课+2门专业课</w:t>
      </w:r>
    </w:p>
    <w:p w14:paraId="7B5E88AF">
      <w:pPr>
        <w:pStyle w:val="6"/>
        <w:spacing w:line="276" w:lineRule="auto"/>
        <w:ind w:firstLine="360" w:firstLineChars="150"/>
        <w:rPr>
          <w:rFonts w:hint="eastAsia" w:asciiTheme="minorEastAsia" w:hAnsiTheme="minorEastAsia" w:cstheme="minorHAnsi"/>
          <w:sz w:val="24"/>
          <w:szCs w:val="24"/>
        </w:rPr>
      </w:pPr>
      <w:r>
        <w:rPr>
          <w:rFonts w:hint="eastAsia" w:asciiTheme="minorEastAsia" w:hAnsiTheme="minorEastAsia" w:cstheme="minorHAnsi"/>
          <w:sz w:val="24"/>
          <w:szCs w:val="24"/>
        </w:rPr>
        <w:t>2门英语课+1门专业课</w:t>
      </w:r>
    </w:p>
    <w:p w14:paraId="1F374B9D">
      <w:pPr>
        <w:pStyle w:val="6"/>
        <w:spacing w:line="276" w:lineRule="auto"/>
        <w:ind w:firstLine="360" w:firstLineChars="150"/>
        <w:rPr>
          <w:rFonts w:hint="eastAsia" w:asciiTheme="minorEastAsia" w:hAnsiTheme="minorEastAsia" w:cstheme="minorHAnsi"/>
          <w:sz w:val="24"/>
          <w:szCs w:val="24"/>
        </w:rPr>
      </w:pPr>
      <w:r>
        <w:rPr>
          <w:rFonts w:hint="eastAsia" w:asciiTheme="minorEastAsia" w:hAnsiTheme="minorEastAsia" w:cstheme="minorHAnsi"/>
          <w:sz w:val="24"/>
          <w:szCs w:val="24"/>
        </w:rPr>
        <w:t>3门英语课</w:t>
      </w:r>
    </w:p>
    <w:p w14:paraId="0A6F550C">
      <w:pPr>
        <w:pStyle w:val="6"/>
        <w:spacing w:line="276" w:lineRule="auto"/>
        <w:ind w:firstLine="360" w:firstLineChars="150"/>
        <w:rPr>
          <w:rFonts w:hint="eastAsia" w:asciiTheme="minorEastAsia" w:hAnsiTheme="minorEastAsia" w:cstheme="minorHAnsi"/>
          <w:sz w:val="24"/>
          <w:szCs w:val="24"/>
        </w:rPr>
      </w:pPr>
    </w:p>
    <w:p w14:paraId="4EC8F718">
      <w:pPr>
        <w:pStyle w:val="6"/>
        <w:spacing w:line="276" w:lineRule="auto"/>
        <w:ind w:firstLine="360" w:firstLineChars="150"/>
        <w:rPr>
          <w:rFonts w:hint="eastAsia" w:asciiTheme="minorEastAsia" w:hAnsiTheme="minorEastAsia" w:cstheme="minorHAnsi"/>
          <w:sz w:val="24"/>
          <w:szCs w:val="24"/>
        </w:rPr>
      </w:pPr>
    </w:p>
    <w:tbl>
      <w:tblPr>
        <w:tblStyle w:val="4"/>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5"/>
        <w:gridCol w:w="5114"/>
      </w:tblGrid>
      <w:tr w14:paraId="003F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3965" w:type="dxa"/>
            <w:noWrap w:val="0"/>
            <w:vAlign w:val="center"/>
          </w:tcPr>
          <w:p w14:paraId="042B6BAB">
            <w:pPr>
              <w:keepNext w:val="0"/>
              <w:keepLines w:val="0"/>
              <w:pageBreakBefore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b/>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专业方向</w:t>
            </w:r>
          </w:p>
        </w:tc>
        <w:tc>
          <w:tcPr>
            <w:tcW w:w="5114" w:type="dxa"/>
            <w:noWrap w:val="0"/>
            <w:vAlign w:val="center"/>
          </w:tcPr>
          <w:p w14:paraId="1B0B5CCE">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b/>
                <w:kern w:val="0"/>
                <w:sz w:val="21"/>
                <w:szCs w:val="21"/>
                <w:lang w:val="en-US" w:eastAsia="zh-CN" w:bidi="ar-SA"/>
              </w:rPr>
            </w:pPr>
            <w:r>
              <w:rPr>
                <w:rFonts w:hint="default" w:ascii="Times New Roman" w:hAnsi="Times New Roman" w:eastAsia="宋体" w:cs="Times New Roman"/>
                <w:b/>
                <w:bCs/>
                <w:kern w:val="0"/>
                <w:sz w:val="21"/>
                <w:szCs w:val="21"/>
                <w:lang w:val="en-US" w:eastAsia="zh-CN" w:bidi="ar-SA"/>
              </w:rPr>
              <w:t>课程</w:t>
            </w:r>
          </w:p>
        </w:tc>
      </w:tr>
      <w:tr w14:paraId="407B4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9079" w:type="dxa"/>
            <w:gridSpan w:val="2"/>
            <w:noWrap w:val="0"/>
            <w:vAlign w:val="center"/>
          </w:tcPr>
          <w:p w14:paraId="51253FAD">
            <w:pPr>
              <w:keepNext w:val="0"/>
              <w:keepLines w:val="0"/>
              <w:pageBreakBefore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b/>
                <w:bCs/>
                <w:kern w:val="0"/>
                <w:sz w:val="21"/>
                <w:szCs w:val="21"/>
                <w:highlight w:val="yellow"/>
                <w:lang w:val="en-US" w:eastAsia="zh-CN" w:bidi="ar-SA"/>
              </w:rPr>
              <w:t>必选一门英语课</w:t>
            </w:r>
          </w:p>
        </w:tc>
      </w:tr>
      <w:tr w14:paraId="6F52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restart"/>
            <w:noWrap w:val="0"/>
            <w:vAlign w:val="center"/>
          </w:tcPr>
          <w:p w14:paraId="6D46D7A2">
            <w:pPr>
              <w:keepNext w:val="0"/>
              <w:keepLines w:val="0"/>
              <w:pageBreakBefore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English Language   (Intermediate and Advanced) 英语(中高级)</w:t>
            </w:r>
          </w:p>
        </w:tc>
        <w:tc>
          <w:tcPr>
            <w:tcW w:w="5114" w:type="dxa"/>
            <w:noWrap w:val="0"/>
            <w:vAlign w:val="center"/>
          </w:tcPr>
          <w:p w14:paraId="6219CCF1">
            <w:pPr>
              <w:keepNext w:val="0"/>
              <w:keepLines w:val="0"/>
              <w:pageBreakBefore w:val="0"/>
              <w:widowControl/>
              <w:numPr>
                <w:ilvl w:val="0"/>
                <w:numId w:val="1"/>
              </w:numPr>
              <w:suppressLineNumbers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 xml:space="preserve">Academic Writing </w:t>
            </w:r>
            <w:r>
              <w:rPr>
                <w:rFonts w:hint="eastAsia" w:ascii="Times New Roman" w:hAnsi="Times New Roman" w:eastAsia="宋体" w:cs="Times New Roman"/>
                <w:kern w:val="0"/>
                <w:sz w:val="21"/>
                <w:szCs w:val="21"/>
                <w:lang w:val="en-US" w:eastAsia="zh-CN" w:bidi="ar-SA"/>
              </w:rPr>
              <w:t>学术写作</w:t>
            </w:r>
          </w:p>
        </w:tc>
      </w:tr>
      <w:tr w14:paraId="15AB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17A00A9E">
            <w:pPr>
              <w:keepNext w:val="0"/>
              <w:keepLines w:val="0"/>
              <w:pageBreakBefore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1FF0C05A">
            <w:pPr>
              <w:keepNext w:val="0"/>
              <w:keepLines w:val="0"/>
              <w:pageBreakBefore w:val="0"/>
              <w:widowControl/>
              <w:numPr>
                <w:ilvl w:val="0"/>
                <w:numId w:val="1"/>
              </w:numPr>
              <w:suppressLineNumbers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Oral Communication 口头交流</w:t>
            </w:r>
          </w:p>
        </w:tc>
      </w:tr>
      <w:tr w14:paraId="7B3B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3965" w:type="dxa"/>
            <w:vMerge w:val="continue"/>
            <w:noWrap w:val="0"/>
            <w:vAlign w:val="center"/>
          </w:tcPr>
          <w:p w14:paraId="149AB3D5">
            <w:pPr>
              <w:keepNext w:val="0"/>
              <w:keepLines w:val="0"/>
              <w:pageBreakBefore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69FF4634">
            <w:pPr>
              <w:keepNext w:val="0"/>
              <w:keepLines w:val="0"/>
              <w:pageBreakBefore w:val="0"/>
              <w:widowControl/>
              <w:numPr>
                <w:ilvl w:val="0"/>
                <w:numId w:val="1"/>
              </w:numPr>
              <w:suppressLineNumbers w:val="0"/>
              <w:kinsoku/>
              <w:overflowPunct/>
              <w:topLinePunct w:val="0"/>
              <w:bidi w:val="0"/>
              <w:snapToGrid w:val="0"/>
              <w:spacing w:line="240" w:lineRule="auto"/>
              <w:ind w:left="0" w:leftChars="0" w:right="0" w:rightChars="0" w:firstLine="0" w:firstLineChars="0"/>
              <w:jc w:val="center"/>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Reading, Note-taking, and </w:t>
            </w:r>
            <w:r>
              <w:rPr>
                <w:rFonts w:hint="default" w:ascii="Times New Roman" w:hAnsi="Times New Roman" w:eastAsia="宋体" w:cs="Times New Roman"/>
                <w:kern w:val="0"/>
                <w:sz w:val="21"/>
                <w:szCs w:val="21"/>
                <w:lang w:val="en-US" w:eastAsia="zh-CN" w:bidi="ar-SA"/>
              </w:rPr>
              <w:t xml:space="preserve">Vocabulary Development </w:t>
            </w:r>
            <w:r>
              <w:rPr>
                <w:rFonts w:hint="eastAsia" w:ascii="Times New Roman" w:hAnsi="Times New Roman" w:eastAsia="宋体" w:cs="Times New Roman"/>
                <w:kern w:val="0"/>
                <w:sz w:val="21"/>
                <w:szCs w:val="21"/>
                <w:lang w:val="en-US" w:eastAsia="zh-CN" w:bidi="ar-SA"/>
              </w:rPr>
              <w:t>阅读，做笔记，和词汇拓展</w:t>
            </w:r>
          </w:p>
        </w:tc>
      </w:tr>
      <w:tr w14:paraId="6B07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9079" w:type="dxa"/>
            <w:gridSpan w:val="2"/>
            <w:noWrap w:val="0"/>
            <w:vAlign w:val="center"/>
          </w:tcPr>
          <w:p w14:paraId="5C0ED46F">
            <w:pPr>
              <w:keepNext w:val="0"/>
              <w:keepLines w:val="0"/>
              <w:pageBreakBefore w:val="0"/>
              <w:kinsoku/>
              <w:overflowPunct/>
              <w:topLinePunct w:val="0"/>
              <w:bidi w:val="0"/>
              <w:snapToGrid w:val="0"/>
              <w:spacing w:line="240" w:lineRule="auto"/>
              <w:ind w:left="0" w:leftChars="0" w:right="0" w:rightChars="0" w:firstLine="0" w:firstLineChars="0"/>
              <w:jc w:val="center"/>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b/>
                <w:bCs/>
                <w:kern w:val="0"/>
                <w:sz w:val="21"/>
                <w:szCs w:val="21"/>
                <w:highlight w:val="yellow"/>
                <w:lang w:val="en-US" w:eastAsia="zh-CN" w:bidi="ar-SA"/>
              </w:rPr>
              <w:t>任选两门专业课（可跨专业）</w:t>
            </w:r>
          </w:p>
        </w:tc>
      </w:tr>
      <w:tr w14:paraId="06A91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restart"/>
            <w:noWrap w:val="0"/>
            <w:vAlign w:val="center"/>
          </w:tcPr>
          <w:p w14:paraId="7F4D4655">
            <w:pPr>
              <w:keepNext w:val="0"/>
              <w:keepLines w:val="0"/>
              <w:pageBreakBefore w:val="0"/>
              <w:widowControl w:val="0"/>
              <w:tabs>
                <w:tab w:val="left" w:pos="2730"/>
              </w:tabs>
              <w:kinsoku/>
              <w:wordWrap w:val="0"/>
              <w:overflowPunct/>
              <w:topLinePunct w:val="0"/>
              <w:autoSpaceDE/>
              <w:autoSpaceDN/>
              <w:bidi w:val="0"/>
              <w:adjustRightInd/>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Business &amp; Accounting商务&amp;会计</w:t>
            </w:r>
          </w:p>
        </w:tc>
        <w:tc>
          <w:tcPr>
            <w:tcW w:w="5114" w:type="dxa"/>
            <w:noWrap w:val="0"/>
            <w:vAlign w:val="center"/>
          </w:tcPr>
          <w:p w14:paraId="2BD85606">
            <w:pPr>
              <w:keepNext w:val="0"/>
              <w:keepLines w:val="0"/>
              <w:pageBreakBefore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Marketing Fundamentals市场营销基本原理</w:t>
            </w:r>
          </w:p>
        </w:tc>
      </w:tr>
      <w:tr w14:paraId="00755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4886D838">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4B573672">
            <w:pPr>
              <w:keepNext w:val="0"/>
              <w:keepLines w:val="0"/>
              <w:pageBreakBefore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Principles of Finance金融学概论</w:t>
            </w:r>
          </w:p>
        </w:tc>
      </w:tr>
      <w:tr w14:paraId="4B57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5E6085ED">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7290192C">
            <w:pPr>
              <w:keepNext w:val="0"/>
              <w:keepLines w:val="0"/>
              <w:pageBreakBefore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Introduction to Accounting</w:t>
            </w:r>
            <w:r>
              <w:rPr>
                <w:rFonts w:hint="eastAsia" w:ascii="Times New Roman" w:hAnsi="Times New Roman" w:eastAsia="宋体" w:cs="Times New Roman"/>
                <w:kern w:val="0"/>
                <w:sz w:val="21"/>
                <w:szCs w:val="21"/>
                <w:lang w:val="en-US" w:eastAsia="zh-CN" w:bidi="ar-SA"/>
              </w:rPr>
              <w:t>会计学概论</w:t>
            </w:r>
          </w:p>
        </w:tc>
      </w:tr>
      <w:tr w14:paraId="4A58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3965" w:type="dxa"/>
            <w:vMerge w:val="restart"/>
            <w:noWrap w:val="0"/>
            <w:vAlign w:val="center"/>
          </w:tcPr>
          <w:p w14:paraId="488C20EC">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Computer science </w:t>
            </w:r>
          </w:p>
          <w:p w14:paraId="3E35A672">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计算机科学</w:t>
            </w:r>
          </w:p>
        </w:tc>
        <w:tc>
          <w:tcPr>
            <w:tcW w:w="5114" w:type="dxa"/>
            <w:noWrap w:val="0"/>
            <w:vAlign w:val="center"/>
          </w:tcPr>
          <w:p w14:paraId="7173836E">
            <w:pPr>
              <w:keepNext w:val="0"/>
              <w:keepLines w:val="0"/>
              <w:pageBreakBefore w:val="0"/>
              <w:numPr>
                <w:ilvl w:val="0"/>
                <w:numId w:val="2"/>
              </w:numPr>
              <w:kinsoku/>
              <w:overflowPunct/>
              <w:topLinePunct w:val="0"/>
              <w:bidi w:val="0"/>
              <w:snapToGrid w:val="0"/>
              <w:spacing w:line="240" w:lineRule="auto"/>
              <w:ind w:left="0" w:leftChars="0" w:right="0" w:rightChars="0" w:firstLine="0" w:firstLineChars="0"/>
              <w:jc w:val="left"/>
              <w:textAlignment w:val="auto"/>
              <w:rPr>
                <w:rFonts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Introduction to Big Data &amp; Data Mining (prerequisite: basic Python programming</w:t>
            </w:r>
          </w:p>
          <w:p w14:paraId="3D0DD9B4">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大数据和数据挖掘概论（先修课程要求：有基础的python编程经验）</w:t>
            </w:r>
          </w:p>
        </w:tc>
      </w:tr>
      <w:tr w14:paraId="1A45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6B7C882A">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10C9591C">
            <w:pPr>
              <w:keepNext w:val="0"/>
              <w:keepLines w:val="0"/>
              <w:pageBreakBefore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Java Programmin</w:t>
            </w:r>
            <w:r>
              <w:rPr>
                <w:rFonts w:hint="eastAsia" w:ascii="Times New Roman" w:hAnsi="Times New Roman" w:eastAsia="宋体" w:cs="Times New Roman"/>
                <w:kern w:val="0"/>
                <w:sz w:val="21"/>
                <w:szCs w:val="21"/>
                <w:lang w:val="en-US" w:eastAsia="zh-CN" w:bidi="ar-SA"/>
              </w:rPr>
              <w:t>g  Java编程</w:t>
            </w:r>
          </w:p>
        </w:tc>
      </w:tr>
      <w:tr w14:paraId="6409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2DD54B2C">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044C29F0">
            <w:pPr>
              <w:keepNext w:val="0"/>
              <w:keepLines w:val="0"/>
              <w:pageBreakBefore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Python Programming</w:t>
            </w:r>
            <w:r>
              <w:rPr>
                <w:rFonts w:hint="eastAsia" w:ascii="Times New Roman" w:hAnsi="Times New Roman" w:eastAsia="宋体" w:cs="Times New Roman"/>
                <w:kern w:val="0"/>
                <w:sz w:val="21"/>
                <w:szCs w:val="21"/>
                <w:lang w:val="en-US" w:eastAsia="zh-CN" w:bidi="ar-SA"/>
              </w:rPr>
              <w:t xml:space="preserve">  Python编程</w:t>
            </w:r>
          </w:p>
        </w:tc>
      </w:tr>
      <w:tr w14:paraId="290F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restart"/>
            <w:noWrap w:val="0"/>
            <w:vAlign w:val="center"/>
          </w:tcPr>
          <w:p w14:paraId="438C50BE">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Engineering工程</w:t>
            </w:r>
          </w:p>
        </w:tc>
        <w:tc>
          <w:tcPr>
            <w:tcW w:w="5114" w:type="dxa"/>
            <w:noWrap w:val="0"/>
            <w:vAlign w:val="center"/>
          </w:tcPr>
          <w:p w14:paraId="77307DF8">
            <w:pPr>
              <w:keepNext w:val="0"/>
              <w:keepLines w:val="0"/>
              <w:pageBreakBefore w:val="0"/>
              <w:widowControl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Engineering Design 工程设计</w:t>
            </w:r>
          </w:p>
        </w:tc>
      </w:tr>
      <w:tr w14:paraId="7D53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51CBAB0F">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0DAF5A88">
            <w:pPr>
              <w:keepNext w:val="0"/>
              <w:keepLines w:val="0"/>
              <w:pageBreakBefore w:val="0"/>
              <w:widowControl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Engineering Physics 工程物理学</w:t>
            </w:r>
          </w:p>
        </w:tc>
      </w:tr>
      <w:tr w14:paraId="5711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restart"/>
            <w:noWrap w:val="0"/>
            <w:vAlign w:val="center"/>
          </w:tcPr>
          <w:p w14:paraId="5C2B595A">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Social Science &amp; Humanities </w:t>
            </w:r>
          </w:p>
          <w:p w14:paraId="1432B773">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社会科学与人文科学</w:t>
            </w:r>
          </w:p>
        </w:tc>
        <w:tc>
          <w:tcPr>
            <w:tcW w:w="5114" w:type="dxa"/>
            <w:noWrap w:val="0"/>
            <w:vAlign w:val="center"/>
          </w:tcPr>
          <w:p w14:paraId="53AEDB97">
            <w:pPr>
              <w:keepNext w:val="0"/>
              <w:keepLines w:val="0"/>
              <w:pageBreakBefore w:val="0"/>
              <w:widowControl w:val="0"/>
              <w:numPr>
                <w:ilvl w:val="0"/>
                <w:numId w:val="3"/>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Cognition and Human </w:t>
            </w:r>
            <w:r>
              <w:rPr>
                <w:rFonts w:hint="default" w:ascii="Times New Roman" w:hAnsi="Times New Roman" w:eastAsia="宋体" w:cs="Times New Roman"/>
                <w:kern w:val="0"/>
                <w:sz w:val="21"/>
                <w:szCs w:val="21"/>
                <w:lang w:val="en-US" w:eastAsia="zh-CN" w:bidi="ar-SA"/>
              </w:rPr>
              <w:t xml:space="preserve">Learning </w:t>
            </w:r>
            <w:r>
              <w:rPr>
                <w:rFonts w:hint="eastAsia" w:ascii="Times New Roman" w:hAnsi="Times New Roman" w:eastAsia="宋体" w:cs="Times New Roman"/>
                <w:kern w:val="0"/>
                <w:sz w:val="21"/>
                <w:szCs w:val="21"/>
                <w:lang w:val="en-US" w:eastAsia="zh-CN" w:bidi="ar-SA"/>
              </w:rPr>
              <w:t>认知与人类学习</w:t>
            </w:r>
          </w:p>
        </w:tc>
      </w:tr>
      <w:tr w14:paraId="03DD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3965" w:type="dxa"/>
            <w:vMerge w:val="continue"/>
            <w:noWrap w:val="0"/>
            <w:vAlign w:val="center"/>
          </w:tcPr>
          <w:p w14:paraId="7617F3A8">
            <w:pPr>
              <w:keepNext w:val="0"/>
              <w:keepLines w:val="0"/>
              <w:pageBreakBefore w:val="0"/>
              <w:widowControl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798B076D">
            <w:pPr>
              <w:keepNext w:val="0"/>
              <w:keepLines w:val="0"/>
              <w:pageBreakBefore w:val="0"/>
              <w:widowControl w:val="0"/>
              <w:numPr>
                <w:ilvl w:val="0"/>
                <w:numId w:val="4"/>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Western Culture and </w:t>
            </w:r>
            <w:r>
              <w:rPr>
                <w:rFonts w:hint="default" w:ascii="Times New Roman" w:hAnsi="Times New Roman" w:eastAsia="宋体" w:cs="Times New Roman"/>
                <w:kern w:val="0"/>
                <w:sz w:val="21"/>
                <w:szCs w:val="21"/>
                <w:lang w:val="en-US" w:eastAsia="zh-CN" w:bidi="ar-SA"/>
              </w:rPr>
              <w:t>Communication Strategies</w:t>
            </w:r>
            <w:r>
              <w:rPr>
                <w:rFonts w:hint="eastAsia" w:ascii="Times New Roman" w:hAnsi="Times New Roman" w:eastAsia="宋体" w:cs="Times New Roman"/>
                <w:kern w:val="0"/>
                <w:sz w:val="21"/>
                <w:szCs w:val="21"/>
                <w:lang w:val="en-US" w:eastAsia="zh-CN" w:bidi="ar-SA"/>
              </w:rPr>
              <w:t>西方文化与传播策略</w:t>
            </w:r>
            <w:r>
              <w:rPr>
                <w:rFonts w:hint="default" w:ascii="Times New Roman" w:hAnsi="Times New Roman" w:eastAsia="宋体" w:cs="Times New Roman"/>
                <w:kern w:val="0"/>
                <w:sz w:val="21"/>
                <w:szCs w:val="21"/>
                <w:lang w:val="en-US" w:eastAsia="zh-CN" w:bidi="ar-SA"/>
              </w:rPr>
              <w:t xml:space="preserve"> </w:t>
            </w:r>
          </w:p>
        </w:tc>
      </w:tr>
      <w:tr w14:paraId="67E0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3965" w:type="dxa"/>
            <w:vMerge w:val="continue"/>
            <w:noWrap w:val="0"/>
            <w:vAlign w:val="center"/>
          </w:tcPr>
          <w:p w14:paraId="7F00E771">
            <w:pPr>
              <w:keepNext w:val="0"/>
              <w:keepLines w:val="0"/>
              <w:pageBreakBefore w:val="0"/>
              <w:widowControl w:val="0"/>
              <w:numPr>
                <w:ilvl w:val="0"/>
                <w:numId w:val="2"/>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p>
        </w:tc>
        <w:tc>
          <w:tcPr>
            <w:tcW w:w="5114" w:type="dxa"/>
            <w:noWrap w:val="0"/>
            <w:vAlign w:val="center"/>
          </w:tcPr>
          <w:p w14:paraId="5FE6526A">
            <w:pPr>
              <w:keepNext w:val="0"/>
              <w:keepLines w:val="0"/>
              <w:pageBreakBefore w:val="0"/>
              <w:widowControl w:val="0"/>
              <w:numPr>
                <w:ilvl w:val="0"/>
                <w:numId w:val="5"/>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 xml:space="preserve">Introduction to Advertising </w:t>
            </w:r>
            <w:r>
              <w:rPr>
                <w:rFonts w:hint="eastAsia" w:ascii="Times New Roman" w:hAnsi="Times New Roman" w:eastAsia="宋体" w:cs="Times New Roman"/>
                <w:kern w:val="0"/>
                <w:sz w:val="21"/>
                <w:szCs w:val="21"/>
                <w:lang w:val="en-US" w:eastAsia="zh-CN" w:bidi="ar-SA"/>
              </w:rPr>
              <w:t>广告学概论</w:t>
            </w:r>
          </w:p>
        </w:tc>
      </w:tr>
      <w:tr w14:paraId="58CD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3965" w:type="dxa"/>
            <w:noWrap w:val="0"/>
            <w:vAlign w:val="center"/>
          </w:tcPr>
          <w:p w14:paraId="079638F7">
            <w:pPr>
              <w:keepNext w:val="0"/>
              <w:keepLines w:val="0"/>
              <w:pageBreakBefore w:val="0"/>
              <w:widowControl w:val="0"/>
              <w:numPr>
                <w:ilvl w:val="0"/>
                <w:numId w:val="0"/>
              </w:numPr>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Public Health 公共卫生</w:t>
            </w:r>
          </w:p>
        </w:tc>
        <w:tc>
          <w:tcPr>
            <w:tcW w:w="5114" w:type="dxa"/>
            <w:noWrap w:val="0"/>
            <w:vAlign w:val="center"/>
          </w:tcPr>
          <w:p w14:paraId="7435DB72">
            <w:pPr>
              <w:keepNext w:val="0"/>
              <w:keepLines w:val="0"/>
              <w:pageBreakBefore w:val="0"/>
              <w:widowControl/>
              <w:numPr>
                <w:ilvl w:val="0"/>
                <w:numId w:val="6"/>
              </w:numPr>
              <w:suppressLineNumbers w:val="0"/>
              <w:kinsoku/>
              <w:overflowPunct/>
              <w:topLinePunct w:val="0"/>
              <w:bidi w:val="0"/>
              <w:snapToGrid w:val="0"/>
              <w:spacing w:line="240" w:lineRule="auto"/>
              <w:ind w:left="0" w:leftChars="0" w:right="0" w:rightChars="0" w:firstLine="0" w:firstLineChars="0"/>
              <w:jc w:val="left"/>
              <w:textAlignment w:val="auto"/>
              <w:rPr>
                <w:rFonts w:hint="default" w:ascii="Times New Roman" w:hAnsi="Times New Roman" w:eastAsia="宋体" w:cs="Times New Roman"/>
                <w:kern w:val="0"/>
                <w:sz w:val="21"/>
                <w:szCs w:val="21"/>
                <w:lang w:val="en-US" w:eastAsia="zh-CN" w:bidi="ar-SA"/>
              </w:rPr>
            </w:pPr>
            <w:r>
              <w:rPr>
                <w:rFonts w:ascii="Times New Roman" w:hAnsi="Times New Roman" w:eastAsia="宋体" w:cs="Times New Roman"/>
                <w:kern w:val="0"/>
                <w:sz w:val="21"/>
                <w:szCs w:val="21"/>
                <w:lang w:val="en-US" w:eastAsia="zh-CN" w:bidi="ar-SA"/>
              </w:rPr>
              <w:t xml:space="preserve">Global Health and </w:t>
            </w:r>
            <w:r>
              <w:rPr>
                <w:rFonts w:hint="default" w:ascii="Times New Roman" w:hAnsi="Times New Roman" w:eastAsia="宋体" w:cs="Times New Roman"/>
                <w:kern w:val="0"/>
                <w:sz w:val="21"/>
                <w:szCs w:val="21"/>
                <w:lang w:val="en-US" w:eastAsia="zh-CN" w:bidi="ar-SA"/>
              </w:rPr>
              <w:t xml:space="preserve">Epidemiology </w:t>
            </w:r>
            <w:r>
              <w:rPr>
                <w:rFonts w:hint="eastAsia" w:ascii="Times New Roman" w:hAnsi="Times New Roman" w:eastAsia="宋体" w:cs="Times New Roman"/>
                <w:kern w:val="0"/>
                <w:sz w:val="21"/>
                <w:szCs w:val="21"/>
                <w:lang w:val="en-US" w:eastAsia="zh-CN" w:bidi="ar-SA"/>
              </w:rPr>
              <w:t>全球卫生和流行病学</w:t>
            </w:r>
          </w:p>
        </w:tc>
      </w:tr>
    </w:tbl>
    <w:p w14:paraId="60DAA6D2">
      <w:pPr>
        <w:widowControl/>
        <w:spacing w:line="400" w:lineRule="atLeast"/>
        <w:jc w:val="left"/>
        <w:rPr>
          <w:rFonts w:hint="eastAsia" w:ascii="宋体" w:hAnsi="宋体" w:eastAsia="宋体" w:cs="宋体"/>
          <w:kern w:val="0"/>
          <w:sz w:val="24"/>
          <w:szCs w:val="24"/>
          <w:lang w:eastAsia="zh-CN"/>
        </w:rPr>
      </w:pPr>
    </w:p>
    <w:p w14:paraId="452E618C">
      <w:pPr>
        <w:rPr>
          <w:rFonts w:hint="eastAsia" w:ascii="宋体" w:hAnsi="宋体" w:eastAsia="宋体" w:cs="宋体"/>
          <w:b/>
          <w:bCs/>
          <w:sz w:val="24"/>
          <w:szCs w:val="24"/>
          <w:u w:val="single"/>
          <w:lang w:eastAsia="zh-CN"/>
        </w:rPr>
      </w:pPr>
      <w:r>
        <w:rPr>
          <w:rFonts w:hint="eastAsia" w:ascii="宋体" w:hAnsi="宋体" w:eastAsia="宋体" w:cs="宋体"/>
          <w:b/>
          <w:bCs/>
          <w:sz w:val="24"/>
          <w:szCs w:val="24"/>
          <w:u w:val="single"/>
        </w:rPr>
        <w:t>课程特色</w:t>
      </w:r>
    </w:p>
    <w:p w14:paraId="76E1A271">
      <w:pPr>
        <w:rPr>
          <w:rFonts w:hint="eastAsia" w:ascii="宋体" w:hAnsi="宋体" w:eastAsia="宋体" w:cs="宋体"/>
          <w:sz w:val="24"/>
          <w:szCs w:val="24"/>
          <w:lang w:eastAsia="zh-CN"/>
        </w:rPr>
      </w:pPr>
    </w:p>
    <w:p w14:paraId="33C8B7BC">
      <w:pPr>
        <w:tabs>
          <w:tab w:val="right" w:pos="10466"/>
        </w:tabs>
        <w:spacing w:before="9"/>
        <w:rPr>
          <w:rFonts w:hint="eastAsia" w:ascii="宋体" w:hAnsi="宋体" w:eastAsia="宋体" w:cs="宋体"/>
          <w:color w:val="000000"/>
          <w:sz w:val="24"/>
          <w:szCs w:val="24"/>
        </w:rPr>
      </w:pPr>
      <w:r>
        <w:rPr>
          <w:rFonts w:hint="eastAsia" w:ascii="宋体" w:hAnsi="宋体" w:eastAsia="宋体" w:cs="宋体"/>
          <w:color w:val="000000"/>
          <w:sz w:val="24"/>
          <w:szCs w:val="24"/>
        </w:rPr>
        <w:t>【顶尖专业】提供全美顶尖</w:t>
      </w:r>
      <w:r>
        <w:rPr>
          <w:rFonts w:hint="eastAsia" w:ascii="宋体" w:hAnsi="宋体" w:eastAsia="宋体" w:cs="宋体"/>
          <w:color w:val="000000"/>
          <w:sz w:val="24"/>
          <w:szCs w:val="24"/>
          <w:lang w:val="en-US" w:eastAsia="zh-CN"/>
        </w:rPr>
        <w:t>专业课程：3门语言课程+18门专业课程可供选择</w:t>
      </w:r>
      <w:r>
        <w:rPr>
          <w:rFonts w:hint="eastAsia" w:ascii="宋体" w:hAnsi="宋体" w:eastAsia="宋体" w:cs="宋体"/>
          <w:color w:val="000000"/>
          <w:sz w:val="24"/>
          <w:szCs w:val="24"/>
        </w:rPr>
        <w:tab/>
      </w:r>
    </w:p>
    <w:p w14:paraId="45EC84A0">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rPr>
        <w:t>【互动授课】互动授课，每周5天，每周约30小时</w:t>
      </w:r>
    </w:p>
    <w:p w14:paraId="557F2EFC">
      <w:pPr>
        <w:pStyle w:val="7"/>
        <w:rPr>
          <w:rFonts w:hint="eastAsia" w:ascii="宋体" w:hAnsi="宋体" w:eastAsia="宋体" w:cs="宋体"/>
          <w:sz w:val="24"/>
          <w:szCs w:val="24"/>
        </w:rPr>
      </w:pPr>
      <w:r>
        <w:rPr>
          <w:rFonts w:hint="eastAsia" w:ascii="宋体" w:hAnsi="宋体" w:eastAsia="宋体" w:cs="宋体"/>
          <w:sz w:val="24"/>
          <w:szCs w:val="24"/>
        </w:rPr>
        <w:t>【质量保证】知名教授上课，获得动手、实践经验和体验顶尖美国式教育</w:t>
      </w:r>
    </w:p>
    <w:p w14:paraId="6557FF93">
      <w:pPr>
        <w:tabs>
          <w:tab w:val="left" w:pos="180"/>
        </w:tabs>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【世界名校】</w:t>
      </w:r>
      <w:r>
        <w:rPr>
          <w:rFonts w:hint="eastAsia" w:ascii="宋体" w:hAnsi="宋体" w:eastAsia="宋体" w:cs="宋体"/>
          <w:color w:val="000000"/>
          <w:sz w:val="24"/>
          <w:szCs w:val="24"/>
          <w:lang w:eastAsia="zh-CN"/>
        </w:rPr>
        <w:t>2026年世界排名：QS 68; U.S.NEWS &amp; World Report 2026综合30， 公立大学第7位</w:t>
      </w:r>
    </w:p>
    <w:p w14:paraId="0CEFA23E">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rPr>
        <w:t>【共享设施】学生获得的Student ID可以免费获得图书馆的使用权限</w:t>
      </w:r>
    </w:p>
    <w:p w14:paraId="7FBA1B56">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rPr>
        <w:t>【文化体验】当地景点游览和教育基地参观</w:t>
      </w:r>
    </w:p>
    <w:p w14:paraId="133CFC1E">
      <w:pPr>
        <w:tabs>
          <w:tab w:val="left" w:pos="180"/>
        </w:tabs>
        <w:rPr>
          <w:rFonts w:hint="eastAsia" w:ascii="宋体" w:hAnsi="宋体" w:eastAsia="宋体" w:cs="宋体"/>
          <w:b/>
          <w:bCs/>
          <w:sz w:val="24"/>
          <w:szCs w:val="24"/>
        </w:rPr>
      </w:pPr>
      <w:r>
        <w:rPr>
          <w:rFonts w:hint="eastAsia" w:ascii="宋体" w:hAnsi="宋体" w:eastAsia="宋体" w:cs="宋体"/>
          <w:color w:val="000000"/>
          <w:sz w:val="24"/>
          <w:szCs w:val="24"/>
        </w:rPr>
        <w:t>【项目权威】合格完成项目的学生，获得UT颁发的正式结业证书和成绩单</w:t>
      </w:r>
    </w:p>
    <w:p w14:paraId="38359A16">
      <w:pPr>
        <w:jc w:val="left"/>
        <w:rPr>
          <w:rFonts w:hint="default" w:ascii="Calibri" w:hAnsi="Courier New" w:eastAsia="宋体" w:cs="Courier New"/>
          <w:b/>
          <w:szCs w:val="21"/>
          <w:lang w:val="en-US" w:eastAsia="zh-CN"/>
        </w:rPr>
      </w:pPr>
    </w:p>
    <w:p w14:paraId="73836C36">
      <w:pPr>
        <w:jc w:val="left"/>
        <w:rPr>
          <w:rFonts w:hint="default" w:ascii="Calibri" w:hAnsi="Courier New" w:eastAsia="宋体" w:cs="Courier New"/>
          <w:b/>
          <w:szCs w:val="21"/>
          <w:lang w:val="en-US" w:eastAsia="zh-CN"/>
        </w:rPr>
      </w:pPr>
      <w:r>
        <w:rPr>
          <w:rFonts w:hint="default" w:ascii="Calibri" w:hAnsi="Courier New" w:eastAsia="宋体" w:cs="Courier New"/>
          <w:b/>
          <w:szCs w:val="21"/>
          <w:lang w:val="en-US" w:eastAsia="zh-CN"/>
        </w:rPr>
        <w:t xml:space="preserve">课程时间和安排示例   </w:t>
      </w:r>
      <w:r>
        <w:rPr>
          <w:rFonts w:hint="eastAsia" w:ascii="Calibri" w:hAnsi="Courier New" w:eastAsia="宋体" w:cs="Courier New"/>
          <w:b/>
          <w:szCs w:val="21"/>
          <w:lang w:val="en-US" w:eastAsia="zh-CN"/>
        </w:rPr>
        <w:t xml:space="preserve">  2026年7月13日—8月7日  （4周）</w:t>
      </w:r>
    </w:p>
    <w:p w14:paraId="48B37FED">
      <w:pPr>
        <w:jc w:val="left"/>
        <w:rPr>
          <w:rFonts w:hint="default" w:ascii="Calibri" w:hAnsi="Courier New" w:eastAsia="宋体" w:cs="Courier New"/>
          <w:b/>
          <w:szCs w:val="21"/>
          <w:lang w:val="en-US" w:eastAsia="zh-CN"/>
        </w:rPr>
      </w:pPr>
      <w:r>
        <w:rPr>
          <w:rFonts w:hint="default" w:ascii="Calibri" w:hAnsi="Courier New" w:eastAsia="宋体" w:cs="Courier New"/>
          <w:b/>
          <w:szCs w:val="21"/>
          <w:lang w:val="en-US" w:eastAsia="zh-CN"/>
        </w:rPr>
        <w:t>学生们将每周参加5天课程，共计120小时。课程连续四周，星期一至星期五，每天上课6小时，中间有午休。</w:t>
      </w:r>
    </w:p>
    <w:p w14:paraId="226B2E80">
      <w:pPr>
        <w:jc w:val="left"/>
        <w:rPr>
          <w:rFonts w:hint="default" w:ascii="Calibri" w:hAnsi="Courier New" w:eastAsia="宋体" w:cs="Courier New"/>
          <w:b/>
          <w:szCs w:val="21"/>
          <w:lang w:val="en-US" w:eastAsia="zh-CN"/>
        </w:rPr>
      </w:pPr>
      <w:r>
        <w:rPr>
          <w:rFonts w:hint="default" w:ascii="Calibri" w:hAnsi="Courier New" w:eastAsia="宋体" w:cs="Courier New"/>
          <w:b/>
          <w:szCs w:val="21"/>
          <w:lang w:val="en-US" w:eastAsia="zh-CN"/>
        </w:rPr>
        <w:t>课程安排示例如下。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1179"/>
        <w:gridCol w:w="1179"/>
        <w:gridCol w:w="1180"/>
        <w:gridCol w:w="1181"/>
        <w:gridCol w:w="1787"/>
      </w:tblGrid>
      <w:tr w14:paraId="25E0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2" w:type="dxa"/>
            <w:noWrap w:val="0"/>
            <w:vAlign w:val="top"/>
          </w:tcPr>
          <w:p w14:paraId="31CF809D">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时间安排</w:t>
            </w:r>
          </w:p>
        </w:tc>
        <w:tc>
          <w:tcPr>
            <w:tcW w:w="1331" w:type="dxa"/>
            <w:noWrap w:val="0"/>
            <w:vAlign w:val="top"/>
          </w:tcPr>
          <w:p w14:paraId="18B2168E">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星期一</w:t>
            </w:r>
          </w:p>
        </w:tc>
        <w:tc>
          <w:tcPr>
            <w:tcW w:w="1331" w:type="dxa"/>
            <w:noWrap w:val="0"/>
            <w:vAlign w:val="top"/>
          </w:tcPr>
          <w:p w14:paraId="4C9135DC">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星期二</w:t>
            </w:r>
          </w:p>
        </w:tc>
        <w:tc>
          <w:tcPr>
            <w:tcW w:w="1332" w:type="dxa"/>
            <w:noWrap w:val="0"/>
            <w:vAlign w:val="top"/>
          </w:tcPr>
          <w:p w14:paraId="76776EDB">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星期三</w:t>
            </w:r>
          </w:p>
        </w:tc>
        <w:tc>
          <w:tcPr>
            <w:tcW w:w="1333" w:type="dxa"/>
            <w:noWrap w:val="0"/>
            <w:vAlign w:val="top"/>
          </w:tcPr>
          <w:p w14:paraId="423439B5">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星期四</w:t>
            </w:r>
          </w:p>
        </w:tc>
        <w:tc>
          <w:tcPr>
            <w:tcW w:w="2064" w:type="dxa"/>
            <w:noWrap w:val="0"/>
            <w:vAlign w:val="top"/>
          </w:tcPr>
          <w:p w14:paraId="55D81501">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星期五</w:t>
            </w:r>
          </w:p>
        </w:tc>
      </w:tr>
      <w:tr w14:paraId="1107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2" w:type="dxa"/>
            <w:noWrap w:val="0"/>
            <w:vAlign w:val="top"/>
          </w:tcPr>
          <w:p w14:paraId="2C8DE750">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8:30am-10:30am</w:t>
            </w:r>
          </w:p>
        </w:tc>
        <w:tc>
          <w:tcPr>
            <w:tcW w:w="1331" w:type="dxa"/>
            <w:noWrap w:val="0"/>
            <w:vAlign w:val="top"/>
          </w:tcPr>
          <w:p w14:paraId="39BBDCD7">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课程1</w:t>
            </w:r>
          </w:p>
        </w:tc>
        <w:tc>
          <w:tcPr>
            <w:tcW w:w="1331" w:type="dxa"/>
            <w:noWrap w:val="0"/>
            <w:vAlign w:val="top"/>
          </w:tcPr>
          <w:p w14:paraId="123BA154">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课程1</w:t>
            </w:r>
          </w:p>
        </w:tc>
        <w:tc>
          <w:tcPr>
            <w:tcW w:w="1332" w:type="dxa"/>
            <w:noWrap w:val="0"/>
            <w:vAlign w:val="top"/>
          </w:tcPr>
          <w:p w14:paraId="1488C953">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课程1</w:t>
            </w:r>
          </w:p>
        </w:tc>
        <w:tc>
          <w:tcPr>
            <w:tcW w:w="1333" w:type="dxa"/>
            <w:noWrap w:val="0"/>
            <w:vAlign w:val="top"/>
          </w:tcPr>
          <w:p w14:paraId="21425022">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课程1</w:t>
            </w:r>
          </w:p>
        </w:tc>
        <w:tc>
          <w:tcPr>
            <w:tcW w:w="2064" w:type="dxa"/>
            <w:noWrap w:val="0"/>
            <w:vAlign w:val="top"/>
          </w:tcPr>
          <w:p w14:paraId="2184544B">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课程1</w:t>
            </w:r>
          </w:p>
        </w:tc>
      </w:tr>
      <w:tr w14:paraId="3527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2" w:type="dxa"/>
            <w:noWrap w:val="0"/>
            <w:vAlign w:val="top"/>
          </w:tcPr>
          <w:p w14:paraId="23C90663">
            <w:pPr>
              <w:tabs>
                <w:tab w:val="left" w:pos="180"/>
              </w:tabs>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rPr>
              <w:t>10:45am-12:45pm</w:t>
            </w:r>
          </w:p>
        </w:tc>
        <w:tc>
          <w:tcPr>
            <w:tcW w:w="1331" w:type="dxa"/>
            <w:noWrap w:val="0"/>
            <w:vAlign w:val="top"/>
          </w:tcPr>
          <w:p w14:paraId="2B3FEDD7">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课程2</w:t>
            </w:r>
          </w:p>
        </w:tc>
        <w:tc>
          <w:tcPr>
            <w:tcW w:w="1331" w:type="dxa"/>
            <w:noWrap w:val="0"/>
            <w:vAlign w:val="top"/>
          </w:tcPr>
          <w:p w14:paraId="05C7B2D5">
            <w:pPr>
              <w:tabs>
                <w:tab w:val="left" w:pos="180"/>
              </w:tabs>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课程2</w:t>
            </w:r>
          </w:p>
        </w:tc>
        <w:tc>
          <w:tcPr>
            <w:tcW w:w="1332" w:type="dxa"/>
            <w:noWrap w:val="0"/>
            <w:vAlign w:val="top"/>
          </w:tcPr>
          <w:p w14:paraId="30E6CAC1">
            <w:pPr>
              <w:tabs>
                <w:tab w:val="left" w:pos="180"/>
              </w:tabs>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课程2</w:t>
            </w:r>
          </w:p>
        </w:tc>
        <w:tc>
          <w:tcPr>
            <w:tcW w:w="1333" w:type="dxa"/>
            <w:noWrap w:val="0"/>
            <w:vAlign w:val="top"/>
          </w:tcPr>
          <w:p w14:paraId="437902AA">
            <w:pPr>
              <w:tabs>
                <w:tab w:val="left" w:pos="180"/>
              </w:tabs>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课程2</w:t>
            </w:r>
          </w:p>
        </w:tc>
        <w:tc>
          <w:tcPr>
            <w:tcW w:w="2064" w:type="dxa"/>
            <w:noWrap w:val="0"/>
            <w:vAlign w:val="top"/>
          </w:tcPr>
          <w:p w14:paraId="2C0B3228">
            <w:pPr>
              <w:tabs>
                <w:tab w:val="left" w:pos="180"/>
              </w:tabs>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课程2</w:t>
            </w:r>
          </w:p>
        </w:tc>
      </w:tr>
      <w:tr w14:paraId="09D9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3" w:type="dxa"/>
            <w:gridSpan w:val="6"/>
            <w:noWrap w:val="0"/>
            <w:vAlign w:val="top"/>
          </w:tcPr>
          <w:p w14:paraId="249CC10A">
            <w:pPr>
              <w:tabs>
                <w:tab w:val="left" w:pos="180"/>
              </w:tabs>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午餐</w:t>
            </w:r>
          </w:p>
        </w:tc>
      </w:tr>
      <w:tr w14:paraId="5387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2" w:type="dxa"/>
            <w:noWrap w:val="0"/>
            <w:vAlign w:val="top"/>
          </w:tcPr>
          <w:p w14:paraId="20F47935">
            <w:pPr>
              <w:tabs>
                <w:tab w:val="left" w:pos="180"/>
              </w:tabs>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2:00pm-4:30pm</w:t>
            </w:r>
          </w:p>
        </w:tc>
        <w:tc>
          <w:tcPr>
            <w:tcW w:w="1331" w:type="dxa"/>
            <w:noWrap w:val="0"/>
            <w:vAlign w:val="top"/>
          </w:tcPr>
          <w:p w14:paraId="66CCADC2">
            <w:pPr>
              <w:tabs>
                <w:tab w:val="left" w:pos="180"/>
              </w:tabs>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课程3</w:t>
            </w:r>
          </w:p>
        </w:tc>
        <w:tc>
          <w:tcPr>
            <w:tcW w:w="1331" w:type="dxa"/>
            <w:noWrap w:val="0"/>
            <w:vAlign w:val="top"/>
          </w:tcPr>
          <w:p w14:paraId="66510546">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课程3</w:t>
            </w:r>
          </w:p>
        </w:tc>
        <w:tc>
          <w:tcPr>
            <w:tcW w:w="1332" w:type="dxa"/>
            <w:noWrap w:val="0"/>
            <w:vAlign w:val="top"/>
          </w:tcPr>
          <w:p w14:paraId="479FBABD">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课程3</w:t>
            </w:r>
          </w:p>
        </w:tc>
        <w:tc>
          <w:tcPr>
            <w:tcW w:w="1333" w:type="dxa"/>
            <w:noWrap w:val="0"/>
            <w:vAlign w:val="top"/>
          </w:tcPr>
          <w:p w14:paraId="1E8EE9B6">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课程3</w:t>
            </w:r>
          </w:p>
        </w:tc>
        <w:tc>
          <w:tcPr>
            <w:tcW w:w="2064" w:type="dxa"/>
            <w:noWrap w:val="0"/>
            <w:vAlign w:val="top"/>
          </w:tcPr>
          <w:p w14:paraId="653410B1">
            <w:pPr>
              <w:tabs>
                <w:tab w:val="left" w:pos="180"/>
              </w:tabs>
              <w:rPr>
                <w:rFonts w:hint="eastAsia" w:ascii="宋体" w:hAnsi="宋体" w:eastAsia="宋体" w:cs="宋体"/>
                <w:color w:val="000000"/>
                <w:sz w:val="24"/>
                <w:szCs w:val="24"/>
              </w:rPr>
            </w:pPr>
            <w:r>
              <w:rPr>
                <w:rFonts w:hint="eastAsia" w:ascii="宋体" w:hAnsi="宋体" w:eastAsia="宋体" w:cs="宋体"/>
                <w:color w:val="000000"/>
                <w:sz w:val="24"/>
                <w:szCs w:val="24"/>
              </w:rPr>
              <w:t>当地游览和教学参观</w:t>
            </w:r>
          </w:p>
        </w:tc>
      </w:tr>
    </w:tbl>
    <w:p w14:paraId="1C21D4A4">
      <w:pPr>
        <w:jc w:val="left"/>
        <w:rPr>
          <w:rFonts w:hint="default" w:ascii="Calibri" w:hAnsi="Courier New" w:eastAsia="宋体" w:cs="Courier New"/>
          <w:b/>
          <w:szCs w:val="21"/>
          <w:lang w:val="en-US" w:eastAsia="zh-CN"/>
        </w:rPr>
      </w:pPr>
    </w:p>
    <w:p w14:paraId="0B9834AB">
      <w:pPr>
        <w:ind w:firstLine="422" w:firstLineChars="200"/>
        <w:jc w:val="left"/>
        <w:rPr>
          <w:rFonts w:hint="eastAsia" w:ascii="Calibri" w:hAnsi="Courier New" w:eastAsia="宋体" w:cs="Courier New"/>
          <w:b/>
          <w:szCs w:val="21"/>
          <w:highlight w:val="yellow"/>
          <w:lang w:val="en-US" w:eastAsia="zh-CN"/>
        </w:rPr>
      </w:pPr>
      <w:r>
        <w:rPr>
          <w:rFonts w:hint="eastAsia" w:ascii="Calibri" w:hAnsi="Courier New" w:eastAsia="宋体" w:cs="Courier New"/>
          <w:b/>
          <w:szCs w:val="21"/>
          <w:highlight w:val="yellow"/>
          <w:lang w:val="en-US" w:eastAsia="zh-CN"/>
        </w:rPr>
        <w:t>具体项目专业、课程设计与时间安排详见附件1.1及1.2</w:t>
      </w:r>
    </w:p>
    <w:p w14:paraId="6C5BC6F2">
      <w:pPr>
        <w:pStyle w:val="6"/>
        <w:spacing w:line="276" w:lineRule="auto"/>
        <w:ind w:firstLine="360" w:firstLineChars="150"/>
        <w:rPr>
          <w:rFonts w:hint="eastAsia" w:asciiTheme="minorEastAsia" w:hAnsiTheme="minorEastAsia" w:cstheme="minorHAnsi"/>
          <w:sz w:val="24"/>
          <w:szCs w:val="24"/>
        </w:rPr>
      </w:pPr>
    </w:p>
    <w:p w14:paraId="12654887">
      <w:pPr>
        <w:jc w:val="left"/>
        <w:rPr>
          <w:rFonts w:hint="default" w:ascii="Calibri" w:hAnsi="Courier New" w:eastAsia="宋体" w:cs="Courier New"/>
          <w:b/>
          <w:szCs w:val="21"/>
          <w:lang w:val="en-US" w:eastAsia="zh-CN"/>
        </w:rPr>
      </w:pPr>
    </w:p>
    <w:p w14:paraId="449D337B">
      <w:pPr>
        <w:widowControl/>
        <w:spacing w:line="440" w:lineRule="atLeast"/>
        <w:jc w:val="left"/>
        <w:rPr>
          <w:rFonts w:hint="eastAsia" w:ascii="宋体" w:hAnsi="宋体" w:eastAsia="宋体" w:cs="宋体"/>
          <w:kern w:val="0"/>
          <w:sz w:val="28"/>
          <w:szCs w:val="28"/>
          <w:lang w:val="en-US" w:eastAsia="zh-CN"/>
        </w:rPr>
      </w:pPr>
      <w:r>
        <w:rPr>
          <w:rFonts w:hint="eastAsia" w:ascii="宋体" w:hAnsi="宋体" w:eastAsia="宋体" w:cs="宋体"/>
          <w:b/>
          <w:bCs/>
          <w:kern w:val="0"/>
          <w:sz w:val="28"/>
          <w:szCs w:val="28"/>
          <w:lang w:val="en-US" w:eastAsia="zh-CN"/>
        </w:rPr>
        <w:t>三</w:t>
      </w:r>
      <w:r>
        <w:rPr>
          <w:rFonts w:hint="eastAsia" w:ascii="宋体" w:hAnsi="宋体" w:eastAsia="宋体" w:cs="宋体"/>
          <w:b/>
          <w:bCs/>
          <w:kern w:val="0"/>
          <w:sz w:val="28"/>
          <w:szCs w:val="28"/>
        </w:rPr>
        <w:t>、申请</w:t>
      </w:r>
      <w:r>
        <w:rPr>
          <w:rFonts w:hint="eastAsia" w:ascii="宋体" w:hAnsi="宋体" w:eastAsia="宋体" w:cs="宋体"/>
          <w:b/>
          <w:bCs/>
          <w:kern w:val="0"/>
          <w:sz w:val="28"/>
          <w:szCs w:val="28"/>
          <w:lang w:val="en-US" w:eastAsia="zh-CN"/>
        </w:rPr>
        <w:t>流程</w:t>
      </w:r>
    </w:p>
    <w:p w14:paraId="2F64B4E0">
      <w:pPr>
        <w:widowControl/>
        <w:spacing w:line="440" w:lineRule="atLeast"/>
        <w:ind w:firstLine="480"/>
        <w:jc w:val="left"/>
        <w:rPr>
          <w:rFonts w:hint="eastAsia" w:ascii="Calibri" w:hAnsi="Calibri" w:eastAsia="宋体" w:cs="宋体"/>
          <w:kern w:val="0"/>
          <w:sz w:val="24"/>
          <w:szCs w:val="24"/>
        </w:rPr>
      </w:pPr>
      <w:r>
        <w:rPr>
          <w:rFonts w:hint="eastAsia" w:ascii="Calibri" w:hAnsi="Calibri" w:eastAsia="宋体" w:cs="宋体"/>
          <w:kern w:val="0"/>
          <w:sz w:val="24"/>
          <w:szCs w:val="24"/>
        </w:rPr>
        <w:t>1．采取“个人申请、学院推荐、专家评审、择优录取”的方式进行选拔。</w:t>
      </w:r>
    </w:p>
    <w:p w14:paraId="1A3F0DE9">
      <w:pPr>
        <w:jc w:val="left"/>
        <w:rPr>
          <w:rFonts w:hint="default" w:ascii="Calibri" w:hAnsi="Calibri" w:eastAsia="宋体" w:cs="宋体"/>
          <w:kern w:val="0"/>
          <w:sz w:val="24"/>
          <w:szCs w:val="24"/>
          <w:lang w:val="en-US" w:eastAsia="zh-CN"/>
        </w:rPr>
      </w:pPr>
      <w:r>
        <w:rPr>
          <w:rFonts w:hint="eastAsia" w:ascii="Calibri" w:hAnsi="Calibri" w:eastAsia="宋体" w:cs="宋体"/>
          <w:kern w:val="0"/>
          <w:sz w:val="24"/>
          <w:szCs w:val="24"/>
        </w:rPr>
        <w:t>2．申请人应向所在学院提交《南京邮电大学研究生海外访学申请汇总表》</w:t>
      </w:r>
      <w:r>
        <w:rPr>
          <w:rFonts w:hint="eastAsia" w:ascii="Calibri" w:hAnsi="Calibri" w:eastAsia="宋体" w:cs="宋体"/>
          <w:kern w:val="0"/>
          <w:sz w:val="24"/>
          <w:szCs w:val="24"/>
          <w:lang w:eastAsia="zh-CN"/>
        </w:rPr>
        <w:t>、</w:t>
      </w:r>
      <w:r>
        <w:rPr>
          <w:rFonts w:hint="eastAsia" w:ascii="Calibri" w:hAnsi="Calibri" w:eastAsia="宋体" w:cs="宋体"/>
          <w:kern w:val="0"/>
          <w:sz w:val="24"/>
          <w:szCs w:val="24"/>
        </w:rPr>
        <w:t>《南京邮电大学研究生出国（境）交流备案表（会议、短期学术交流）》</w:t>
      </w:r>
      <w:r>
        <w:rPr>
          <w:rFonts w:hint="eastAsia" w:ascii="Calibri" w:hAnsi="Calibri" w:eastAsia="宋体" w:cs="宋体"/>
          <w:kern w:val="0"/>
          <w:sz w:val="24"/>
          <w:szCs w:val="24"/>
          <w:lang w:eastAsia="zh-CN"/>
        </w:rPr>
        <w:t>、《南京</w:t>
      </w:r>
      <w:r>
        <w:rPr>
          <w:rFonts w:hint="eastAsia" w:ascii="Calibri" w:hAnsi="Calibri" w:eastAsia="宋体" w:cs="宋体"/>
          <w:kern w:val="0"/>
          <w:sz w:val="24"/>
          <w:szCs w:val="24"/>
          <w:lang w:val="en-US" w:eastAsia="zh-CN"/>
        </w:rPr>
        <w:t>邮</w:t>
      </w:r>
      <w:r>
        <w:rPr>
          <w:rFonts w:hint="eastAsia" w:ascii="Calibri" w:hAnsi="Calibri" w:eastAsia="宋体" w:cs="宋体"/>
          <w:kern w:val="0"/>
          <w:sz w:val="24"/>
          <w:szCs w:val="24"/>
          <w:lang w:eastAsia="zh-CN"/>
        </w:rPr>
        <w:t>电</w:t>
      </w:r>
      <w:r>
        <w:rPr>
          <w:rFonts w:hint="eastAsia" w:ascii="Calibri" w:hAnsi="Calibri" w:eastAsia="宋体" w:cs="宋体"/>
          <w:kern w:val="0"/>
          <w:sz w:val="24"/>
          <w:szCs w:val="24"/>
        </w:rPr>
        <w:t>大学学生出国（境）项目申请人承诺书</w:t>
      </w:r>
      <w:r>
        <w:rPr>
          <w:rFonts w:hint="eastAsia" w:ascii="Calibri" w:hAnsi="Calibri" w:eastAsia="宋体" w:cs="宋体"/>
          <w:kern w:val="0"/>
          <w:sz w:val="24"/>
          <w:szCs w:val="24"/>
          <w:lang w:eastAsia="zh-CN"/>
        </w:rPr>
        <w:t>》、《南京邮电大学在校学生出国（境）交流项目家长担保函》</w:t>
      </w:r>
      <w:bookmarkStart w:id="0" w:name="_GoBack"/>
      <w:bookmarkEnd w:id="0"/>
      <w:r>
        <w:rPr>
          <w:rFonts w:hint="eastAsia" w:ascii="Calibri" w:hAnsi="Calibri" w:eastAsia="宋体" w:cs="宋体"/>
          <w:kern w:val="0"/>
          <w:sz w:val="24"/>
          <w:szCs w:val="24"/>
          <w:lang w:eastAsia="zh-CN"/>
        </w:rPr>
        <w:t>。</w:t>
      </w:r>
    </w:p>
    <w:p w14:paraId="01B113EF">
      <w:pPr>
        <w:widowControl/>
        <w:spacing w:line="440" w:lineRule="atLeast"/>
        <w:ind w:firstLine="480"/>
        <w:jc w:val="left"/>
        <w:rPr>
          <w:rFonts w:hint="eastAsia" w:ascii="Calibri" w:hAnsi="Calibri" w:eastAsia="宋体" w:cs="宋体"/>
          <w:kern w:val="0"/>
          <w:sz w:val="24"/>
          <w:szCs w:val="24"/>
        </w:rPr>
      </w:pPr>
      <w:r>
        <w:rPr>
          <w:rFonts w:hint="eastAsia" w:ascii="Calibri" w:hAnsi="Calibri" w:eastAsia="宋体" w:cs="宋体"/>
          <w:kern w:val="0"/>
          <w:sz w:val="24"/>
          <w:szCs w:val="24"/>
        </w:rPr>
        <w:t>3．申请人</w:t>
      </w:r>
      <w:r>
        <w:rPr>
          <w:rFonts w:hint="eastAsia" w:ascii="Calibri" w:hAnsi="Calibri" w:eastAsia="宋体" w:cs="宋体"/>
          <w:b/>
          <w:bCs/>
          <w:kern w:val="0"/>
          <w:sz w:val="24"/>
          <w:szCs w:val="24"/>
          <w:highlight w:val="yellow"/>
          <w:lang w:val="en-US" w:eastAsia="zh-CN"/>
        </w:rPr>
        <w:t>4</w:t>
      </w:r>
      <w:r>
        <w:rPr>
          <w:rFonts w:hint="eastAsia" w:ascii="Calibri" w:hAnsi="Calibri" w:eastAsia="宋体" w:cs="宋体"/>
          <w:b/>
          <w:bCs/>
          <w:kern w:val="0"/>
          <w:sz w:val="24"/>
          <w:szCs w:val="24"/>
          <w:highlight w:val="yellow"/>
        </w:rPr>
        <w:t>月</w:t>
      </w:r>
      <w:r>
        <w:rPr>
          <w:rFonts w:hint="eastAsia" w:ascii="Calibri" w:hAnsi="Calibri" w:eastAsia="宋体" w:cs="宋体"/>
          <w:b/>
          <w:bCs/>
          <w:kern w:val="0"/>
          <w:sz w:val="24"/>
          <w:szCs w:val="24"/>
          <w:highlight w:val="yellow"/>
          <w:lang w:val="en-US" w:eastAsia="zh-CN"/>
        </w:rPr>
        <w:t>21</w:t>
      </w:r>
      <w:r>
        <w:rPr>
          <w:rFonts w:hint="eastAsia" w:ascii="Calibri" w:hAnsi="Calibri" w:eastAsia="宋体" w:cs="宋体"/>
          <w:b/>
          <w:bCs/>
          <w:kern w:val="0"/>
          <w:sz w:val="24"/>
          <w:szCs w:val="24"/>
          <w:highlight w:val="yellow"/>
        </w:rPr>
        <w:t>日</w:t>
      </w:r>
      <w:r>
        <w:rPr>
          <w:rFonts w:hint="eastAsia" w:ascii="Calibri" w:hAnsi="Calibri" w:eastAsia="宋体" w:cs="宋体"/>
          <w:kern w:val="0"/>
          <w:sz w:val="24"/>
          <w:szCs w:val="24"/>
        </w:rPr>
        <w:t>前将申请材料交至各学院，学院根据申请资格与条件对申请人进行筛选、排序并填写《南京邮电大学研究生海外访学申请汇总表》于</w:t>
      </w:r>
      <w:r>
        <w:rPr>
          <w:rFonts w:hint="eastAsia" w:ascii="Calibri" w:hAnsi="Calibri" w:eastAsia="宋体" w:cs="宋体"/>
          <w:b/>
          <w:bCs/>
          <w:kern w:val="0"/>
          <w:sz w:val="24"/>
          <w:szCs w:val="24"/>
          <w:highlight w:val="yellow"/>
          <w:lang w:val="en-US" w:eastAsia="zh-CN"/>
        </w:rPr>
        <w:t>4</w:t>
      </w:r>
      <w:r>
        <w:rPr>
          <w:rFonts w:hint="eastAsia" w:ascii="Calibri" w:hAnsi="Calibri" w:eastAsia="宋体" w:cs="宋体"/>
          <w:b/>
          <w:bCs/>
          <w:kern w:val="0"/>
          <w:sz w:val="24"/>
          <w:szCs w:val="24"/>
          <w:highlight w:val="yellow"/>
        </w:rPr>
        <w:t>月</w:t>
      </w:r>
      <w:r>
        <w:rPr>
          <w:rFonts w:hint="eastAsia" w:ascii="Calibri" w:hAnsi="Calibri" w:eastAsia="宋体" w:cs="宋体"/>
          <w:b/>
          <w:bCs/>
          <w:kern w:val="0"/>
          <w:sz w:val="24"/>
          <w:szCs w:val="24"/>
          <w:highlight w:val="yellow"/>
          <w:lang w:val="en-US" w:eastAsia="zh-CN"/>
        </w:rPr>
        <w:t>22</w:t>
      </w:r>
      <w:r>
        <w:rPr>
          <w:rFonts w:hint="eastAsia" w:ascii="Calibri" w:hAnsi="Calibri" w:eastAsia="宋体" w:cs="宋体"/>
          <w:b/>
          <w:bCs/>
          <w:kern w:val="0"/>
          <w:sz w:val="24"/>
          <w:szCs w:val="24"/>
          <w:highlight w:val="yellow"/>
        </w:rPr>
        <w:t>日</w:t>
      </w:r>
      <w:r>
        <w:rPr>
          <w:rFonts w:hint="eastAsia" w:ascii="Calibri" w:hAnsi="Calibri" w:eastAsia="宋体" w:cs="宋体"/>
          <w:kern w:val="0"/>
          <w:sz w:val="24"/>
          <w:szCs w:val="24"/>
        </w:rPr>
        <w:t>前将候选人申请材料及汇总表交至研究生院培养办，逾期不递交材料的学院作自动放弃处理。</w:t>
      </w:r>
    </w:p>
    <w:p w14:paraId="0BEB5C75">
      <w:pPr>
        <w:widowControl/>
        <w:spacing w:line="440" w:lineRule="atLeast"/>
        <w:ind w:firstLine="480"/>
        <w:jc w:val="left"/>
        <w:rPr>
          <w:rFonts w:hint="eastAsia" w:ascii="宋体" w:hAnsi="宋体" w:eastAsia="宋体" w:cs="宋体"/>
          <w:kern w:val="0"/>
          <w:sz w:val="24"/>
          <w:szCs w:val="24"/>
        </w:rPr>
      </w:pPr>
      <w:r>
        <w:rPr>
          <w:rFonts w:hint="eastAsia" w:ascii="Calibri" w:hAnsi="Calibri" w:eastAsia="宋体" w:cs="宋体"/>
          <w:kern w:val="0"/>
          <w:sz w:val="24"/>
          <w:szCs w:val="24"/>
        </w:rPr>
        <w:t>奥斯汀分校的申请材料及要求详见附件1.1、1.2，申请表模板参见附件1.3</w:t>
      </w:r>
      <w:r>
        <w:rPr>
          <w:rFonts w:hint="eastAsia" w:ascii="宋体" w:hAnsi="宋体" w:eastAsia="宋体" w:cs="宋体"/>
          <w:kern w:val="0"/>
          <w:sz w:val="24"/>
          <w:szCs w:val="24"/>
        </w:rPr>
        <w:t>。</w:t>
      </w:r>
    </w:p>
    <w:p w14:paraId="3097A8DF">
      <w:pPr>
        <w:widowControl/>
        <w:spacing w:line="440" w:lineRule="atLeast"/>
        <w:jc w:val="left"/>
        <w:rPr>
          <w:rFonts w:hint="eastAsia" w:ascii="宋体" w:hAnsi="宋体" w:eastAsia="宋体" w:cs="宋体"/>
          <w:b/>
          <w:bCs/>
          <w:kern w:val="0"/>
          <w:sz w:val="24"/>
          <w:szCs w:val="24"/>
          <w:lang w:val="en-US" w:eastAsia="zh-CN"/>
        </w:rPr>
      </w:pPr>
    </w:p>
    <w:p w14:paraId="29D52175">
      <w:pPr>
        <w:widowControl/>
        <w:spacing w:line="440" w:lineRule="atLeast"/>
        <w:jc w:val="left"/>
        <w:rPr>
          <w:rFonts w:hint="eastAsia" w:ascii="宋体" w:hAnsi="宋体" w:eastAsia="宋体" w:cs="宋体"/>
          <w:b/>
          <w:bCs/>
          <w:kern w:val="0"/>
          <w:sz w:val="28"/>
          <w:szCs w:val="28"/>
        </w:rPr>
      </w:pPr>
      <w:r>
        <w:rPr>
          <w:rFonts w:hint="eastAsia" w:ascii="宋体" w:hAnsi="宋体" w:eastAsia="宋体" w:cs="宋体"/>
          <w:b/>
          <w:bCs/>
          <w:kern w:val="0"/>
          <w:sz w:val="28"/>
          <w:szCs w:val="28"/>
          <w:lang w:eastAsia="zh-CN"/>
        </w:rPr>
        <w:t>五</w:t>
      </w:r>
      <w:r>
        <w:rPr>
          <w:rFonts w:hint="eastAsia" w:ascii="宋体" w:hAnsi="宋体" w:eastAsia="宋体" w:cs="宋体"/>
          <w:b/>
          <w:bCs/>
          <w:kern w:val="0"/>
          <w:sz w:val="28"/>
          <w:szCs w:val="28"/>
        </w:rPr>
        <w:t>、费用情况</w:t>
      </w:r>
    </w:p>
    <w:p w14:paraId="1F5A11CB">
      <w:pPr>
        <w:widowControl/>
        <w:spacing w:line="440" w:lineRule="atLeast"/>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 xml:space="preserve"> $6000美元（共120个小时，可获得Texas global共9个学分）</w:t>
      </w:r>
    </w:p>
    <w:p w14:paraId="6015F1F3">
      <w:pPr>
        <w:widowControl/>
        <w:spacing w:line="440" w:lineRule="atLeast"/>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 xml:space="preserve"> 包含：学费，材料费，食宿费，教学旅行和活动费，录取信和I20签发，医疗保险费，课程证书，成绩单等。</w:t>
      </w:r>
    </w:p>
    <w:p w14:paraId="6DA4FD34">
      <w:pPr>
        <w:widowControl/>
        <w:spacing w:line="440" w:lineRule="atLeast"/>
        <w:ind w:firstLine="480" w:firstLineChars="20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不包含：机票费用，如有教授特别要求的书本费，签证申请费用，SEVIS费及其他个人消费</w:t>
      </w:r>
    </w:p>
    <w:p w14:paraId="60DD459D">
      <w:pPr>
        <w:widowControl/>
        <w:spacing w:line="440" w:lineRule="atLeast"/>
        <w:ind w:firstLine="480" w:firstLineChars="200"/>
        <w:jc w:val="left"/>
        <w:rPr>
          <w:rFonts w:hint="eastAsia" w:ascii="宋体" w:hAnsi="宋体" w:eastAsia="宋体" w:cs="宋体"/>
          <w:b w:val="0"/>
          <w:bCs w:val="0"/>
          <w:kern w:val="0"/>
          <w:sz w:val="24"/>
          <w:szCs w:val="24"/>
        </w:rPr>
      </w:pPr>
    </w:p>
    <w:p w14:paraId="7A0C30D0">
      <w:pPr>
        <w:widowControl/>
        <w:spacing w:line="440" w:lineRule="atLeast"/>
        <w:jc w:val="left"/>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lang w:eastAsia="zh-CN"/>
        </w:rPr>
        <w:t>六、其他</w:t>
      </w:r>
    </w:p>
    <w:p w14:paraId="752A4FF0">
      <w:pPr>
        <w:widowControl/>
        <w:spacing w:line="440" w:lineRule="atLeast"/>
        <w:ind w:firstLine="480"/>
        <w:jc w:val="left"/>
        <w:rPr>
          <w:rFonts w:hint="eastAsia" w:ascii="Calibri" w:hAnsi="Calibri" w:eastAsia="宋体" w:cs="宋体"/>
          <w:kern w:val="0"/>
          <w:sz w:val="24"/>
          <w:szCs w:val="24"/>
        </w:rPr>
      </w:pPr>
      <w:r>
        <w:rPr>
          <w:rFonts w:hint="eastAsia" w:ascii="Calibri" w:hAnsi="Calibri" w:eastAsia="宋体" w:cs="宋体"/>
          <w:kern w:val="0"/>
          <w:sz w:val="24"/>
          <w:szCs w:val="24"/>
        </w:rPr>
        <w:t>1. 联系人：</w:t>
      </w:r>
    </w:p>
    <w:p w14:paraId="09EE77D7">
      <w:pPr>
        <w:widowControl/>
        <w:spacing w:line="440" w:lineRule="atLeast"/>
        <w:ind w:firstLine="480"/>
        <w:jc w:val="left"/>
        <w:rPr>
          <w:rFonts w:hint="eastAsia" w:ascii="Calibri" w:hAnsi="Calibri" w:eastAsia="宋体" w:cs="宋体"/>
          <w:kern w:val="0"/>
          <w:sz w:val="24"/>
          <w:szCs w:val="24"/>
        </w:rPr>
      </w:pPr>
      <w:r>
        <w:rPr>
          <w:rFonts w:hint="eastAsia" w:ascii="Calibri" w:hAnsi="Calibri" w:eastAsia="宋体" w:cs="宋体"/>
          <w:kern w:val="0"/>
          <w:sz w:val="24"/>
          <w:szCs w:val="24"/>
        </w:rPr>
        <w:t>国际合作交流处：李老师 85866716；</w:t>
      </w:r>
    </w:p>
    <w:p w14:paraId="4F166FA8">
      <w:pPr>
        <w:widowControl/>
        <w:spacing w:line="440" w:lineRule="atLeast"/>
        <w:ind w:firstLine="480"/>
        <w:jc w:val="left"/>
        <w:rPr>
          <w:rFonts w:hint="eastAsia" w:ascii="Calibri" w:hAnsi="Calibri" w:eastAsia="宋体" w:cs="宋体"/>
          <w:kern w:val="0"/>
          <w:sz w:val="24"/>
          <w:szCs w:val="24"/>
        </w:rPr>
      </w:pPr>
      <w:r>
        <w:rPr>
          <w:rFonts w:hint="eastAsia" w:ascii="Calibri" w:hAnsi="Calibri" w:eastAsia="宋体" w:cs="宋体"/>
          <w:kern w:val="0"/>
          <w:sz w:val="24"/>
          <w:szCs w:val="24"/>
        </w:rPr>
        <w:t>研究生院：</w:t>
      </w:r>
      <w:r>
        <w:rPr>
          <w:rFonts w:hint="eastAsia" w:ascii="Calibri" w:hAnsi="Calibri" w:eastAsia="宋体" w:cs="宋体"/>
          <w:kern w:val="0"/>
          <w:sz w:val="24"/>
          <w:szCs w:val="24"/>
          <w:lang w:val="en-US" w:eastAsia="zh-CN"/>
        </w:rPr>
        <w:t>王</w:t>
      </w:r>
      <w:r>
        <w:rPr>
          <w:rFonts w:hint="eastAsia" w:ascii="Calibri" w:hAnsi="Calibri" w:eastAsia="宋体" w:cs="宋体"/>
          <w:kern w:val="0"/>
          <w:sz w:val="24"/>
          <w:szCs w:val="24"/>
        </w:rPr>
        <w:t>老师83492257</w:t>
      </w:r>
    </w:p>
    <w:p w14:paraId="1C6BD4FA">
      <w:pPr>
        <w:widowControl/>
        <w:spacing w:line="440" w:lineRule="atLeast"/>
        <w:ind w:firstLine="480"/>
        <w:jc w:val="left"/>
        <w:rPr>
          <w:rFonts w:hint="eastAsia" w:ascii="Calibri" w:hAnsi="Calibri" w:eastAsia="宋体" w:cs="宋体"/>
          <w:kern w:val="0"/>
          <w:sz w:val="24"/>
          <w:szCs w:val="24"/>
        </w:rPr>
      </w:pPr>
      <w:r>
        <w:rPr>
          <w:rFonts w:hint="eastAsia" w:ascii="Calibri" w:hAnsi="Calibri" w:eastAsia="宋体" w:cs="宋体"/>
          <w:kern w:val="0"/>
          <w:sz w:val="24"/>
          <w:szCs w:val="24"/>
        </w:rPr>
        <w:t>2. 被录取学生需交纳材料，另行通知。</w:t>
      </w:r>
    </w:p>
    <w:p w14:paraId="7508BECF">
      <w:pPr>
        <w:widowControl/>
        <w:spacing w:line="440" w:lineRule="atLeast"/>
        <w:ind w:firstLine="480"/>
        <w:jc w:val="left"/>
        <w:rPr>
          <w:rFonts w:hint="eastAsia" w:ascii="Calibri" w:hAnsi="Calibri" w:eastAsia="宋体" w:cs="宋体"/>
          <w:kern w:val="0"/>
          <w:sz w:val="24"/>
          <w:szCs w:val="24"/>
        </w:rPr>
      </w:pPr>
    </w:p>
    <w:p w14:paraId="758483F4">
      <w:pPr>
        <w:widowControl/>
        <w:spacing w:line="440" w:lineRule="atLeast"/>
        <w:ind w:firstLine="4862" w:firstLineChars="2026"/>
        <w:jc w:val="left"/>
        <w:rPr>
          <w:rFonts w:hint="eastAsia" w:ascii="Calibri" w:hAnsi="Calibri" w:eastAsia="宋体" w:cs="宋体"/>
          <w:kern w:val="0"/>
          <w:sz w:val="24"/>
          <w:szCs w:val="24"/>
        </w:rPr>
      </w:pPr>
      <w:r>
        <w:rPr>
          <w:rFonts w:hint="eastAsia" w:ascii="Calibri" w:hAnsi="Calibri" w:eastAsia="宋体" w:cs="宋体"/>
          <w:kern w:val="0"/>
          <w:sz w:val="24"/>
          <w:szCs w:val="24"/>
        </w:rPr>
        <w:t>南京邮电大学研究生院</w:t>
      </w:r>
    </w:p>
    <w:p w14:paraId="6179BD0D">
      <w:pPr>
        <w:widowControl/>
        <w:spacing w:line="440" w:lineRule="atLeast"/>
        <w:ind w:firstLine="5582" w:firstLineChars="2326"/>
        <w:jc w:val="left"/>
        <w:rPr>
          <w:rFonts w:hint="default" w:ascii="宋体" w:hAnsi="宋体" w:eastAsia="宋体" w:cs="宋体"/>
          <w:b/>
          <w:bCs/>
          <w:kern w:val="0"/>
          <w:sz w:val="24"/>
          <w:szCs w:val="24"/>
          <w:lang w:val="en-US" w:eastAsia="zh-CN"/>
        </w:rPr>
      </w:pPr>
      <w:r>
        <w:rPr>
          <w:rFonts w:hint="eastAsia" w:ascii="Calibri" w:hAnsi="Calibri" w:eastAsia="宋体" w:cs="宋体"/>
          <w:kern w:val="0"/>
          <w:sz w:val="24"/>
          <w:szCs w:val="24"/>
          <w:lang w:eastAsia="zh-CN"/>
        </w:rPr>
        <w:t>2026</w:t>
      </w:r>
      <w:r>
        <w:rPr>
          <w:rFonts w:hint="eastAsia" w:ascii="Calibri" w:hAnsi="Calibri" w:eastAsia="宋体" w:cs="宋体"/>
          <w:kern w:val="0"/>
          <w:sz w:val="24"/>
          <w:szCs w:val="24"/>
        </w:rPr>
        <w:t>年</w:t>
      </w:r>
      <w:r>
        <w:rPr>
          <w:rFonts w:hint="eastAsia" w:ascii="Calibri" w:hAnsi="Calibri" w:eastAsia="宋体" w:cs="宋体"/>
          <w:kern w:val="0"/>
          <w:sz w:val="24"/>
          <w:szCs w:val="24"/>
          <w:lang w:val="en-US" w:eastAsia="zh-CN"/>
        </w:rPr>
        <w:t>3</w:t>
      </w:r>
      <w:r>
        <w:rPr>
          <w:rFonts w:hint="eastAsia" w:ascii="Calibri" w:hAnsi="Calibri" w:eastAsia="宋体" w:cs="宋体"/>
          <w:kern w:val="0"/>
          <w:sz w:val="24"/>
          <w:szCs w:val="24"/>
        </w:rPr>
        <w:t>月</w:t>
      </w:r>
    </w:p>
    <w:p w14:paraId="373FB1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CE610D"/>
    <w:multiLevelType w:val="singleLevel"/>
    <w:tmpl w:val="C9CE610D"/>
    <w:lvl w:ilvl="0" w:tentative="0">
      <w:start w:val="12"/>
      <w:numFmt w:val="decimal"/>
      <w:suff w:val="space"/>
      <w:lvlText w:val="%1."/>
      <w:lvlJc w:val="left"/>
    </w:lvl>
  </w:abstractNum>
  <w:abstractNum w:abstractNumId="1">
    <w:nsid w:val="CC07AE8D"/>
    <w:multiLevelType w:val="singleLevel"/>
    <w:tmpl w:val="CC07AE8D"/>
    <w:lvl w:ilvl="0" w:tentative="0">
      <w:start w:val="1"/>
      <w:numFmt w:val="decimal"/>
      <w:suff w:val="space"/>
      <w:lvlText w:val="%1."/>
      <w:lvlJc w:val="left"/>
    </w:lvl>
  </w:abstractNum>
  <w:abstractNum w:abstractNumId="2">
    <w:nsid w:val="E8D706C8"/>
    <w:multiLevelType w:val="singleLevel"/>
    <w:tmpl w:val="E8D706C8"/>
    <w:lvl w:ilvl="0" w:tentative="0">
      <w:start w:val="1"/>
      <w:numFmt w:val="decimal"/>
      <w:suff w:val="space"/>
      <w:lvlText w:val="%1."/>
      <w:lvlJc w:val="left"/>
    </w:lvl>
  </w:abstractNum>
  <w:abstractNum w:abstractNumId="3">
    <w:nsid w:val="30C0E7B9"/>
    <w:multiLevelType w:val="singleLevel"/>
    <w:tmpl w:val="30C0E7B9"/>
    <w:lvl w:ilvl="0" w:tentative="0">
      <w:start w:val="11"/>
      <w:numFmt w:val="decimal"/>
      <w:suff w:val="space"/>
      <w:lvlText w:val="%1."/>
      <w:lvlJc w:val="left"/>
    </w:lvl>
  </w:abstractNum>
  <w:abstractNum w:abstractNumId="4">
    <w:nsid w:val="44A15897"/>
    <w:multiLevelType w:val="singleLevel"/>
    <w:tmpl w:val="44A15897"/>
    <w:lvl w:ilvl="0" w:tentative="0">
      <w:start w:val="9"/>
      <w:numFmt w:val="decimal"/>
      <w:suff w:val="space"/>
      <w:lvlText w:val="%1."/>
      <w:lvlJc w:val="left"/>
    </w:lvl>
  </w:abstractNum>
  <w:abstractNum w:abstractNumId="5">
    <w:nsid w:val="658A9F71"/>
    <w:multiLevelType w:val="singleLevel"/>
    <w:tmpl w:val="658A9F71"/>
    <w:lvl w:ilvl="0" w:tentative="0">
      <w:start w:val="10"/>
      <w:numFmt w:val="decimal"/>
      <w:suff w:val="space"/>
      <w:lvlText w:val="%1."/>
      <w:lvlJc w:val="left"/>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MmNhOWU1OTdkYmY5MjYwZTJhOGU1ODE3OGI1MTMifQ=="/>
    <w:docVar w:name="KSO_WPS_MARK_KEY" w:val="528d5581-a1b4-421d-b5c7-27a2a58e9bbd"/>
  </w:docVars>
  <w:rsids>
    <w:rsidRoot w:val="50C571C4"/>
    <w:rsid w:val="0BF11CFD"/>
    <w:rsid w:val="0EB52DF2"/>
    <w:rsid w:val="1066305F"/>
    <w:rsid w:val="1AF07B6D"/>
    <w:rsid w:val="22C55C73"/>
    <w:rsid w:val="23B56422"/>
    <w:rsid w:val="327C7E4F"/>
    <w:rsid w:val="3B956CFE"/>
    <w:rsid w:val="44F35501"/>
    <w:rsid w:val="4AEA0A2B"/>
    <w:rsid w:val="4B063F3C"/>
    <w:rsid w:val="50C571C4"/>
    <w:rsid w:val="51340035"/>
    <w:rsid w:val="517B725D"/>
    <w:rsid w:val="5187487C"/>
    <w:rsid w:val="531A47C3"/>
    <w:rsid w:val="544B7B81"/>
    <w:rsid w:val="57BA1485"/>
    <w:rsid w:val="5D700FA9"/>
    <w:rsid w:val="5EF76731"/>
    <w:rsid w:val="5F953F4F"/>
    <w:rsid w:val="62D6068C"/>
    <w:rsid w:val="66AB67BB"/>
    <w:rsid w:val="6A3416E5"/>
    <w:rsid w:val="70F4143F"/>
    <w:rsid w:val="75437D2C"/>
    <w:rsid w:val="77F47977"/>
    <w:rsid w:val="7CA22239"/>
    <w:rsid w:val="7EF83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jc w:val="left"/>
    </w:pPr>
    <w:rPr>
      <w:rFonts w:hAnsi="Courier New" w:eastAsia="Times New Roman" w:cs="Times New Roman"/>
      <w:kern w:val="0"/>
    </w:rPr>
  </w:style>
  <w:style w:type="table" w:styleId="4">
    <w:name w:val="Table Grid"/>
    <w:basedOn w:val="3"/>
    <w:qFormat/>
    <w:uiPriority w:val="99"/>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
    <w:name w:val="无间隔1"/>
    <w:qFormat/>
    <w:uiPriority w:val="99"/>
    <w:pPr>
      <w:adjustRightInd w:val="0"/>
      <w:snapToGrid w:val="0"/>
    </w:pPr>
    <w:rPr>
      <w:rFonts w:ascii="Tahoma" w:hAnsi="Tahoma" w:eastAsia="宋体" w:cs="Tahoma"/>
      <w:sz w:val="22"/>
      <w:szCs w:val="22"/>
      <w:lang w:val="en-US" w:eastAsia="zh-CN" w:bidi="ar-SA"/>
    </w:rPr>
  </w:style>
  <w:style w:type="paragraph" w:customStyle="1" w:styleId="9">
    <w:name w:val="Table Paragraph"/>
    <w:basedOn w:val="1"/>
    <w:qFormat/>
    <w:uiPriority w:val="1"/>
    <w:rPr>
      <w:rFonts w:eastAsia="宋体" w:cs="Times New Roman"/>
      <w:szCs w:val="24"/>
    </w:rPr>
  </w:style>
  <w:style w:type="paragraph" w:customStyle="1" w:styleId="10">
    <w:name w:val="_tgt"/>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1149</Words>
  <Characters>1788</Characters>
  <Lines>0</Lines>
  <Paragraphs>0</Paragraphs>
  <TotalTime>1</TotalTime>
  <ScaleCrop>false</ScaleCrop>
  <LinksUpToDate>false</LinksUpToDate>
  <CharactersWithSpaces>1890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2020-10-16T10:11:00Z</dcterms:created>
  <dc:creator>WIN7</dc:creator>
  <cp:lastModifiedBy>potter</cp:lastModifiedBy>
  <dcterms:modified xsi:type="dcterms:W3CDTF">2026-03-19T03:26:51Z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A718F8EA14E140A2A6C1F023F20F0F96_13</vt:lpwstr>
  </property>
  <property fmtid="{D5CDD505-2E9C-101B-9397-08002B2CF9AE}" pid="4" name="KSOTemplateDocerSaveRecord">
    <vt:lpwstr>eyJoZGlkIjoiMGJkMmJhZDhlOWRjZGRkNGE1YzZjZjA2YzBhZjQxOTQiLCJ1c2VySWQiOiIzNTc3ODMyMjMifQ==</vt:lpwstr>
  </property>
</Properties>
</file>