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E7" w:rsidRPr="00DF28B2" w:rsidRDefault="00B216E7" w:rsidP="00B216E7">
      <w:pPr>
        <w:spacing w:line="360" w:lineRule="atLeast"/>
        <w:rPr>
          <w:rFonts w:ascii="方正仿宋简体" w:eastAsia="方正仿宋简体"/>
          <w:sz w:val="28"/>
          <w:szCs w:val="28"/>
        </w:rPr>
      </w:pPr>
      <w:r w:rsidRPr="00DF28B2">
        <w:rPr>
          <w:rFonts w:ascii="方正仿宋简体" w:eastAsia="方正仿宋简体" w:hint="eastAsia"/>
          <w:sz w:val="28"/>
          <w:szCs w:val="28"/>
        </w:rPr>
        <w:t>附件</w:t>
      </w:r>
      <w:r w:rsidRPr="00DF28B2">
        <w:rPr>
          <w:rFonts w:ascii="方正仿宋简体" w:eastAsia="方正仿宋简体"/>
          <w:sz w:val="28"/>
          <w:szCs w:val="28"/>
        </w:rPr>
        <w:t>2</w:t>
      </w:r>
    </w:p>
    <w:p w:rsidR="00B216E7" w:rsidRPr="00DF28B2" w:rsidRDefault="00B216E7" w:rsidP="00B216E7">
      <w:pPr>
        <w:spacing w:afterLines="50"/>
        <w:jc w:val="center"/>
        <w:rPr>
          <w:rFonts w:eastAsia="方正小标宋简体"/>
          <w:b/>
          <w:bCs/>
          <w:sz w:val="32"/>
          <w:szCs w:val="32"/>
        </w:rPr>
      </w:pPr>
      <w:r w:rsidRPr="00DF28B2">
        <w:rPr>
          <w:rFonts w:eastAsia="方正小标宋简体" w:cs="方正小标宋简体" w:hint="eastAsia"/>
          <w:b/>
          <w:bCs/>
          <w:sz w:val="32"/>
          <w:szCs w:val="32"/>
        </w:rPr>
        <w:t>光学工程学科学位授权点专项评估要素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1492"/>
        <w:gridCol w:w="5881"/>
      </w:tblGrid>
      <w:tr w:rsidR="00B216E7" w:rsidRPr="00A10323" w:rsidTr="005851B4">
        <w:trPr>
          <w:trHeight w:val="645"/>
        </w:trPr>
        <w:tc>
          <w:tcPr>
            <w:tcW w:w="720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DF28B2">
              <w:rPr>
                <w:rFonts w:ascii="黑体" w:eastAsia="黑体" w:hAnsi="黑体" w:cs="黑体" w:hint="eastAsia"/>
                <w:b/>
                <w:sz w:val="24"/>
                <w:szCs w:val="24"/>
              </w:rPr>
              <w:t>一级要素</w:t>
            </w: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DF28B2">
              <w:rPr>
                <w:rFonts w:ascii="黑体" w:eastAsia="黑体" w:hAnsi="黑体" w:cs="黑体" w:hint="eastAsia"/>
                <w:b/>
                <w:sz w:val="24"/>
                <w:szCs w:val="24"/>
              </w:rPr>
              <w:t>二级要素</w:t>
            </w:r>
          </w:p>
        </w:tc>
        <w:tc>
          <w:tcPr>
            <w:tcW w:w="3413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DF28B2">
              <w:rPr>
                <w:rFonts w:ascii="黑体" w:eastAsia="黑体" w:hAnsi="黑体" w:cs="黑体" w:hint="eastAsia"/>
                <w:b/>
                <w:sz w:val="24"/>
                <w:szCs w:val="24"/>
              </w:rPr>
              <w:t>主要内容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 w:val="restar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一、目标与标准</w:t>
            </w: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1.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培养目标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培养研究生的目标定位。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2.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学位标准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授予博士或硕士学位的基本标准。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 w:val="restar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二、师资队伍</w:t>
            </w: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3.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师资规模和结构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导师数量、年龄结构、生师比情况。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4.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师资水平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导师学历、学位、专业技术职务、承担科研项目、所获学术成果（论文、专著、专利、获奖等）、学术交流、社会兼职与所获荣誉或人才称号情况。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 w:val="restar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三、人才培养</w:t>
            </w: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5.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招生选拔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研究生报考数量、录取比例、录取人数、生源结构情况；为保证生源质量采取的措施。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6.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课程教学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开设的核心课程及主讲教师情况；课程教学质量和持续改进机制。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7.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学术训练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研究生参与学术训练的情况，包括制度保证、经费支持等。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8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学术交流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研究生参与国际国内学术交流的基本情况。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9.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分流淘汰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研究生分流淘汰情况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10.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学位论文质量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学位论文在各类论文抽检、评审中的情况和论文质量分析。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/>
                <w:sz w:val="24"/>
                <w:szCs w:val="24"/>
              </w:rPr>
              <w:t>11.</w:t>
            </w: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培养人才质量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就业情况、社会地位或声誉。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 w:val="restar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四、质量保证和教学支撑</w:t>
            </w: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/>
                <w:sz w:val="24"/>
                <w:szCs w:val="24"/>
              </w:rPr>
              <w:t>12.</w:t>
            </w: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导师管理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导师队伍的选聘、培训、考核情况；导师指导研究生的制度要求和执行情况。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Del="00822B3A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/>
                <w:sz w:val="24"/>
                <w:szCs w:val="24"/>
              </w:rPr>
              <w:t>13</w:t>
            </w: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．研究生管理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sz w:val="24"/>
                <w:szCs w:val="24"/>
              </w:rPr>
              <w:t>各环节制度建设情况；管理制度执行保证情况。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14.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学风建设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科学道德和学术规范教育情况；学术不端行为处罚情况。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15.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教学平台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支撑研究生学习、科研和学术交流的平台情况。</w:t>
            </w:r>
          </w:p>
        </w:tc>
      </w:tr>
      <w:tr w:rsidR="00B216E7" w:rsidRPr="00A10323" w:rsidTr="005851B4">
        <w:trPr>
          <w:trHeight w:val="482"/>
        </w:trPr>
        <w:tc>
          <w:tcPr>
            <w:tcW w:w="720" w:type="pct"/>
            <w:vMerge/>
            <w:vAlign w:val="center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B216E7" w:rsidRPr="00A10323" w:rsidRDefault="00B216E7" w:rsidP="005851B4">
            <w:pPr>
              <w:widowControl/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/>
                <w:kern w:val="0"/>
                <w:sz w:val="24"/>
                <w:szCs w:val="24"/>
              </w:rPr>
              <w:t>16.</w:t>
            </w: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奖助体系</w:t>
            </w:r>
          </w:p>
        </w:tc>
        <w:tc>
          <w:tcPr>
            <w:tcW w:w="3413" w:type="pct"/>
          </w:tcPr>
          <w:p w:rsidR="00B216E7" w:rsidRPr="00A10323" w:rsidRDefault="00B216E7" w:rsidP="005851B4">
            <w:pPr>
              <w:snapToGrid w:val="0"/>
              <w:spacing w:before="100" w:beforeAutospacing="1" w:after="100" w:afterAutospacing="1" w:line="400" w:lineRule="exact"/>
              <w:rPr>
                <w:rFonts w:eastAsia="方正仿宋简体"/>
                <w:kern w:val="0"/>
                <w:sz w:val="24"/>
                <w:szCs w:val="24"/>
              </w:rPr>
            </w:pPr>
            <w:r w:rsidRPr="00A10323">
              <w:rPr>
                <w:rFonts w:eastAsia="方正仿宋简体" w:cs="方正仿宋简体" w:hint="eastAsia"/>
                <w:kern w:val="0"/>
                <w:sz w:val="24"/>
                <w:szCs w:val="24"/>
              </w:rPr>
              <w:t>研究生奖助体系的制度建设、奖助水平、覆盖面等情况。</w:t>
            </w:r>
          </w:p>
        </w:tc>
      </w:tr>
    </w:tbl>
    <w:p w:rsidR="00B216E7" w:rsidRPr="00DF28B2" w:rsidRDefault="00B216E7" w:rsidP="00B216E7">
      <w:pPr>
        <w:sectPr w:rsidR="00B216E7" w:rsidRPr="00DF28B2" w:rsidSect="00A507F4">
          <w:footerReference w:type="default" r:id="rId6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B4375F" w:rsidRDefault="00B4375F"/>
    <w:sectPr w:rsidR="00B4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75F" w:rsidRDefault="00B4375F" w:rsidP="00B216E7">
      <w:r>
        <w:separator/>
      </w:r>
    </w:p>
  </w:endnote>
  <w:endnote w:type="continuationSeparator" w:id="1">
    <w:p w:rsidR="00B4375F" w:rsidRDefault="00B4375F" w:rsidP="00B2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E7" w:rsidRDefault="00B216E7">
    <w:pPr>
      <w:pStyle w:val="a4"/>
      <w:jc w:val="center"/>
    </w:pPr>
    <w:r w:rsidRPr="003525C4">
      <w:fldChar w:fldCharType="begin"/>
    </w:r>
    <w:r>
      <w:instrText xml:space="preserve"> PAGE   \* MERGEFORMAT </w:instrText>
    </w:r>
    <w:r w:rsidRPr="003525C4">
      <w:fldChar w:fldCharType="separate"/>
    </w:r>
    <w:r w:rsidRPr="00B216E7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B216E7" w:rsidRDefault="00B216E7" w:rsidP="00A507F4">
    <w:pPr>
      <w:tabs>
        <w:tab w:val="center" w:pos="7719"/>
      </w:tabs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75F" w:rsidRDefault="00B4375F" w:rsidP="00B216E7">
      <w:r>
        <w:separator/>
      </w:r>
    </w:p>
  </w:footnote>
  <w:footnote w:type="continuationSeparator" w:id="1">
    <w:p w:rsidR="00B4375F" w:rsidRDefault="00B4375F" w:rsidP="00B21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6E7"/>
    <w:rsid w:val="00B216E7"/>
    <w:rsid w:val="00B4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6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6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2015-07-09T09:23:00Z</dcterms:created>
  <dcterms:modified xsi:type="dcterms:W3CDTF">2015-07-09T09:23:00Z</dcterms:modified>
</cp:coreProperties>
</file>