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b/>
          <w:sz w:val="28"/>
          <w:szCs w:val="28"/>
        </w:rPr>
      </w:pPr>
      <w:bookmarkStart w:id="0" w:name="_GoBack"/>
      <w:bookmarkEnd w:id="0"/>
      <w:r>
        <w:rPr>
          <w:rFonts w:hint="eastAsia" w:ascii="Arial Narrow"/>
          <w:b/>
          <w:sz w:val="28"/>
          <w:szCs w:val="28"/>
        </w:rPr>
        <w:t>华盛顿大学访学</w:t>
      </w:r>
      <w:r>
        <w:rPr>
          <w:rFonts w:ascii="Arial Narrow"/>
          <w:b/>
          <w:sz w:val="28"/>
          <w:szCs w:val="28"/>
        </w:rPr>
        <w:t>项目介绍</w:t>
      </w:r>
    </w:p>
    <w:p>
      <w:pPr>
        <w:widowControl/>
        <w:shd w:val="clear" w:color="auto"/>
        <w:spacing w:line="400" w:lineRule="atLeast"/>
        <w:jc w:val="left"/>
        <w:rPr>
          <w:rFonts w:ascii="宋体" w:hAnsi="宋体" w:cs="宋体"/>
          <w:color w:val="3F3F3F"/>
          <w:kern w:val="0"/>
          <w:sz w:val="18"/>
          <w:szCs w:val="18"/>
        </w:rPr>
      </w:pPr>
      <w:r>
        <w:rPr>
          <w:rFonts w:hint="eastAsia" w:ascii="宋体" w:hAnsi="宋体" w:cs="宋体"/>
          <w:color w:val="3F3F3F"/>
          <w:kern w:val="0"/>
          <w:sz w:val="24"/>
        </w:rPr>
        <w:t>各学院：</w:t>
      </w:r>
    </w:p>
    <w:p>
      <w:pPr>
        <w:widowControl/>
        <w:shd w:val="clear" w:color="auto"/>
        <w:spacing w:line="400" w:lineRule="atLeast"/>
        <w:ind w:firstLine="480"/>
        <w:jc w:val="left"/>
        <w:rPr>
          <w:rFonts w:ascii="宋体" w:hAnsi="宋体" w:cs="宋体"/>
          <w:color w:val="3F3F3F"/>
          <w:kern w:val="0"/>
          <w:sz w:val="18"/>
          <w:szCs w:val="18"/>
        </w:rPr>
      </w:pPr>
      <w:r>
        <w:rPr>
          <w:rFonts w:hint="eastAsia" w:ascii="宋体" w:hAnsi="宋体" w:cs="宋体"/>
          <w:color w:val="3F3F3F"/>
          <w:kern w:val="0"/>
          <w:sz w:val="24"/>
        </w:rPr>
        <w:t>依据我校发展国际化教育的方针和校际合作协议，为实施我校的教育国际化战略，培养具有国际视野和国际竞争力的高素质人才。</w:t>
      </w:r>
      <w:r>
        <w:rPr>
          <w:rFonts w:hint="eastAsia" w:cs="Calibri"/>
          <w:color w:val="3F3F3F"/>
          <w:kern w:val="0"/>
          <w:sz w:val="24"/>
        </w:rPr>
        <w:t>20</w:t>
      </w:r>
      <w:r>
        <w:rPr>
          <w:rFonts w:cs="Calibri"/>
          <w:color w:val="3F3F3F"/>
          <w:kern w:val="0"/>
          <w:sz w:val="24"/>
        </w:rPr>
        <w:t>20</w:t>
      </w:r>
      <w:r>
        <w:rPr>
          <w:rFonts w:hint="eastAsia" w:ascii="宋体" w:hAnsi="宋体" w:cs="宋体"/>
          <w:color w:val="3F3F3F"/>
          <w:kern w:val="0"/>
          <w:sz w:val="24"/>
        </w:rPr>
        <w:t>年冬季，我校将选派指定名额的优秀在校生前往美国华盛顿大学参加学期交流项目。</w:t>
      </w:r>
    </w:p>
    <w:p>
      <w:pPr>
        <w:shd w:val="clear"/>
        <w:jc w:val="left"/>
        <w:rPr>
          <w:rFonts w:ascii="Arial Narrow"/>
          <w:b/>
          <w:sz w:val="22"/>
        </w:rPr>
      </w:pPr>
    </w:p>
    <w:p>
      <w:pPr>
        <w:numPr>
          <w:ilvl w:val="0"/>
          <w:numId w:val="1"/>
        </w:numPr>
        <w:jc w:val="left"/>
        <w:rPr>
          <w:rFonts w:ascii="Arial Narrow"/>
          <w:b/>
          <w:sz w:val="22"/>
        </w:rPr>
      </w:pPr>
      <w:r>
        <w:rPr>
          <w:rFonts w:hint="eastAsia" w:ascii="Arial Narrow"/>
          <w:b/>
          <w:sz w:val="22"/>
        </w:rPr>
        <w:t>华盛顿大学简介</w:t>
      </w:r>
    </w:p>
    <w:p>
      <w:pPr>
        <w:ind w:left="420"/>
        <w:jc w:val="left"/>
        <w:rPr>
          <w:rFonts w:ascii="Arial Narrow"/>
          <w:b/>
          <w:sz w:val="22"/>
        </w:rPr>
      </w:pPr>
    </w:p>
    <w:p>
      <w:pPr>
        <w:ind w:left="-340"/>
        <w:jc w:val="left"/>
        <w:rPr>
          <w:rFonts w:ascii="Arial Narrow"/>
          <w:b/>
          <w:sz w:val="22"/>
        </w:rPr>
      </w:pPr>
    </w:p>
    <w:p>
      <w:pPr>
        <w:ind w:left="420"/>
        <w:jc w:val="left"/>
        <w:rPr>
          <w:rFonts w:ascii="Arial Narrow"/>
          <w:b/>
          <w:sz w:val="22"/>
        </w:rPr>
      </w:pPr>
    </w:p>
    <w:p>
      <w:pPr>
        <w:pStyle w:val="10"/>
        <w:numPr>
          <w:ilvl w:val="0"/>
          <w:numId w:val="2"/>
        </w:numPr>
        <w:ind w:firstLineChars="0"/>
        <w:rPr>
          <w:rFonts w:ascii="Arial Narrow" w:hAnsi="Arial Narrow"/>
          <w:sz w:val="22"/>
        </w:rPr>
      </w:pPr>
      <w:r>
        <w:rPr>
          <w:rFonts w:hint="eastAsia" w:ascii="Arial Narrow" w:hAnsi="Arial Narrow"/>
          <w:sz w:val="22"/>
        </w:rPr>
        <w:t>华盛顿大学（University of Washington），简称UW，始建于1861年，位于美国西海岸西雅图，是世界著名的顶尖研究型大学；</w:t>
      </w:r>
    </w:p>
    <w:p>
      <w:pPr>
        <w:pStyle w:val="10"/>
        <w:numPr>
          <w:ilvl w:val="0"/>
          <w:numId w:val="2"/>
        </w:numPr>
        <w:ind w:firstLineChars="0"/>
        <w:rPr>
          <w:rFonts w:ascii="Arial Narrow" w:hAnsi="Arial Narrow"/>
          <w:sz w:val="22"/>
        </w:rPr>
      </w:pPr>
      <w:r>
        <w:rPr>
          <w:rFonts w:hint="eastAsia" w:ascii="Arial Narrow" w:hAnsi="Arial Narrow"/>
          <w:sz w:val="22"/>
        </w:rPr>
        <w:t>1974年以来，华盛顿大学每年所获得的巨额科研经费始终位居全球大学前三位，在国际学术界享有极高声望；</w:t>
      </w:r>
    </w:p>
    <w:p>
      <w:pPr>
        <w:pStyle w:val="10"/>
        <w:numPr>
          <w:ilvl w:val="0"/>
          <w:numId w:val="2"/>
        </w:numPr>
        <w:ind w:firstLineChars="0"/>
        <w:rPr>
          <w:rFonts w:ascii="Arial Narrow" w:hAnsi="Arial Narrow"/>
          <w:sz w:val="22"/>
        </w:rPr>
      </w:pPr>
      <w:r>
        <w:rPr>
          <w:rFonts w:hint="eastAsia" w:ascii="Arial Narrow" w:hAnsi="Arial Narrow"/>
          <w:sz w:val="22"/>
        </w:rPr>
        <w:t>华盛顿大学2018 US News世界大学排名第10名；</w:t>
      </w:r>
    </w:p>
    <w:p>
      <w:pPr>
        <w:pStyle w:val="10"/>
        <w:numPr>
          <w:ilvl w:val="0"/>
          <w:numId w:val="2"/>
        </w:numPr>
        <w:ind w:firstLineChars="0"/>
        <w:rPr>
          <w:rFonts w:ascii="Arial Narrow" w:hAnsi="Arial Narrow"/>
          <w:sz w:val="22"/>
        </w:rPr>
      </w:pPr>
      <w:r>
        <w:rPr>
          <w:rFonts w:hint="eastAsia" w:ascii="Arial Narrow" w:hAnsi="Arial Narrow"/>
          <w:sz w:val="22"/>
        </w:rPr>
        <w:t>建校以来，华盛顿大学及其校友创做出无数造福全人类的重大发明：发明了乙肝疫苗、肾透析术，绘制了人类基因图谱，揭示了生命奥秘，主持设计了世界上最大的波音747客机、月球轨道飞船和哥伦比亚航天飞机，开发了计算机DOS操作系统等等；</w:t>
      </w:r>
    </w:p>
    <w:p>
      <w:pPr>
        <w:pStyle w:val="10"/>
        <w:numPr>
          <w:ilvl w:val="0"/>
          <w:numId w:val="2"/>
        </w:numPr>
        <w:ind w:firstLineChars="0"/>
        <w:rPr>
          <w:rFonts w:ascii="Arial Narrow" w:hAnsi="Arial Narrow"/>
          <w:sz w:val="22"/>
        </w:rPr>
      </w:pPr>
      <w:r>
        <w:rPr>
          <w:rFonts w:hint="eastAsia" w:ascii="Arial Narrow" w:hAnsi="Arial Narrow"/>
          <w:sz w:val="22"/>
        </w:rPr>
        <w:t>华盛顿大学教授中有14位诺贝尔奖、1位菲尔茨奖、2位图灵奖、167位美国科学委员会学部委员、252位美国院士。</w:t>
      </w:r>
    </w:p>
    <w:p>
      <w:pPr>
        <w:rPr>
          <w:rFonts w:ascii="Arial Narrow" w:hAnsi="Arial Narrow"/>
          <w:b/>
          <w:sz w:val="22"/>
        </w:rPr>
      </w:pPr>
    </w:p>
    <w:p>
      <w:pPr>
        <w:numPr>
          <w:ilvl w:val="0"/>
          <w:numId w:val="1"/>
        </w:numPr>
        <w:rPr>
          <w:rFonts w:ascii="Arial Narrow" w:hAnsi="Arial Narrow"/>
          <w:b/>
          <w:sz w:val="22"/>
        </w:rPr>
      </w:pPr>
      <w:r>
        <w:rPr>
          <w:rFonts w:hint="eastAsia" w:ascii="Arial Narrow"/>
          <w:b/>
          <w:sz w:val="22"/>
        </w:rPr>
        <w:t>访学</w:t>
      </w:r>
      <w:r>
        <w:rPr>
          <w:rFonts w:ascii="Arial Narrow"/>
          <w:b/>
          <w:sz w:val="22"/>
        </w:rPr>
        <w:t>项目介绍</w:t>
      </w:r>
    </w:p>
    <w:p>
      <w:pPr>
        <w:pStyle w:val="10"/>
        <w:ind w:firstLine="0" w:firstLineChars="0"/>
        <w:rPr>
          <w:rFonts w:ascii="Arial Narrow" w:hAnsi="Arial Narrow" w:cs="宋体"/>
          <w:szCs w:val="21"/>
        </w:rPr>
      </w:pPr>
    </w:p>
    <w:p>
      <w:pPr>
        <w:pStyle w:val="10"/>
        <w:ind w:firstLine="0" w:firstLineChars="0"/>
        <w:rPr>
          <w:rFonts w:ascii="Arial Narrow" w:hAnsi="Arial Narrow" w:cs="宋体"/>
          <w:szCs w:val="21"/>
          <w:u w:val="single"/>
        </w:rPr>
      </w:pPr>
      <w:r>
        <w:rPr>
          <w:rFonts w:hint="eastAsia" w:ascii="Arial Narrow" w:hAnsi="Arial Narrow" w:cs="宋体"/>
          <w:szCs w:val="21"/>
          <w:u w:val="single"/>
        </w:rPr>
        <w:t>大学专业学分课程</w:t>
      </w:r>
    </w:p>
    <w:p>
      <w:pPr>
        <w:pStyle w:val="10"/>
        <w:ind w:firstLine="0" w:firstLineChars="0"/>
        <w:rPr>
          <w:rFonts w:ascii="Arial Narrow" w:hAnsi="Arial Narrow" w:cs="宋体"/>
          <w:szCs w:val="21"/>
          <w:u w:val="single"/>
        </w:rPr>
      </w:pPr>
    </w:p>
    <w:p>
      <w:pPr>
        <w:spacing w:line="360" w:lineRule="exact"/>
        <w:rPr>
          <w:rFonts w:ascii="Arial Narrow" w:hAnsi="Arial Narrow" w:eastAsiaTheme="minorEastAsia"/>
          <w:sz w:val="22"/>
        </w:rPr>
      </w:pPr>
      <w:r>
        <w:rPr>
          <w:rFonts w:hint="eastAsia" w:ascii="Arial Narrow" w:hAnsi="Arial Narrow" w:cs="宋体"/>
          <w:szCs w:val="21"/>
        </w:rPr>
        <w:t>日期：</w:t>
      </w:r>
      <w:r>
        <w:rPr>
          <w:rFonts w:ascii="Arial Narrow" w:hAnsiTheme="minorEastAsia" w:eastAsiaTheme="minorEastAsia"/>
          <w:sz w:val="22"/>
        </w:rPr>
        <w:t>冬季学期：</w:t>
      </w:r>
      <w:r>
        <w:rPr>
          <w:rFonts w:ascii="Arial Narrow" w:hAnsi="Arial Narrow" w:eastAsiaTheme="minorEastAsia"/>
          <w:sz w:val="22"/>
        </w:rPr>
        <w:t>1</w:t>
      </w:r>
      <w:r>
        <w:rPr>
          <w:rFonts w:hint="eastAsia" w:ascii="Arial Narrow" w:hAnsi="Arial Narrow" w:eastAsiaTheme="minorEastAsia"/>
          <w:sz w:val="22"/>
        </w:rPr>
        <w:t>2</w:t>
      </w:r>
      <w:r>
        <w:rPr>
          <w:rFonts w:ascii="Arial Narrow" w:hAnsiTheme="minorEastAsia" w:eastAsiaTheme="minorEastAsia"/>
          <w:sz w:val="22"/>
        </w:rPr>
        <w:t>月</w:t>
      </w:r>
      <w:r>
        <w:rPr>
          <w:rFonts w:hint="eastAsia" w:ascii="Arial Narrow" w:hAnsiTheme="minorEastAsia" w:eastAsiaTheme="minorEastAsia"/>
          <w:sz w:val="22"/>
        </w:rPr>
        <w:t>30日</w:t>
      </w:r>
      <w:r>
        <w:rPr>
          <w:rFonts w:ascii="Arial Narrow" w:hAnsi="Arial Narrow" w:eastAsiaTheme="minorEastAsia"/>
          <w:sz w:val="22"/>
        </w:rPr>
        <w:t>-3</w:t>
      </w:r>
      <w:r>
        <w:rPr>
          <w:rFonts w:ascii="Arial Narrow" w:hAnsiTheme="minorEastAsia" w:eastAsiaTheme="minorEastAsia"/>
          <w:sz w:val="22"/>
        </w:rPr>
        <w:t>月</w:t>
      </w:r>
      <w:r>
        <w:rPr>
          <w:rFonts w:hint="eastAsia" w:ascii="Arial Narrow" w:hAnsiTheme="minorEastAsia" w:eastAsiaTheme="minorEastAsia"/>
          <w:sz w:val="22"/>
        </w:rPr>
        <w:t>20日</w:t>
      </w:r>
    </w:p>
    <w:p>
      <w:pPr>
        <w:spacing w:line="360" w:lineRule="exact"/>
        <w:ind w:firstLine="660" w:firstLineChars="300"/>
        <w:rPr>
          <w:rFonts w:ascii="Arial Narrow" w:hAnsi="Arial Narrow"/>
          <w:sz w:val="22"/>
        </w:rPr>
      </w:pPr>
      <w:r>
        <w:rPr>
          <w:rFonts w:ascii="Arial Narrow" w:hAnsiTheme="minorEastAsia" w:eastAsiaTheme="minorEastAsia"/>
          <w:sz w:val="22"/>
        </w:rPr>
        <w:t>春季学期：</w:t>
      </w:r>
      <w:r>
        <w:rPr>
          <w:rFonts w:ascii="Arial Narrow" w:hAnsi="Arial Narrow" w:eastAsiaTheme="minorEastAsia"/>
          <w:sz w:val="22"/>
        </w:rPr>
        <w:t>3</w:t>
      </w:r>
      <w:r>
        <w:rPr>
          <w:rFonts w:ascii="Arial Narrow" w:hAnsiTheme="minorEastAsia" w:eastAsiaTheme="minorEastAsia"/>
          <w:sz w:val="22"/>
        </w:rPr>
        <w:t>月</w:t>
      </w:r>
      <w:r>
        <w:rPr>
          <w:rFonts w:hint="eastAsia" w:ascii="Arial Narrow" w:hAnsiTheme="minorEastAsia" w:eastAsiaTheme="minorEastAsia"/>
          <w:sz w:val="22"/>
        </w:rPr>
        <w:t>23日</w:t>
      </w:r>
      <w:r>
        <w:rPr>
          <w:rFonts w:ascii="Arial Narrow" w:hAnsi="Arial Narrow" w:eastAsiaTheme="minorEastAsia"/>
          <w:sz w:val="22"/>
        </w:rPr>
        <w:t>-6</w:t>
      </w:r>
      <w:r>
        <w:rPr>
          <w:rFonts w:ascii="Arial Narrow" w:hAnsiTheme="minorEastAsia" w:eastAsiaTheme="minorEastAsia"/>
          <w:sz w:val="22"/>
        </w:rPr>
        <w:t>月</w:t>
      </w:r>
      <w:r>
        <w:rPr>
          <w:rFonts w:ascii="Arial Narrow" w:hAnsi="Arial Narrow"/>
          <w:sz w:val="22"/>
        </w:rPr>
        <w:t xml:space="preserve"> </w:t>
      </w:r>
      <w:r>
        <w:rPr>
          <w:rFonts w:hint="eastAsia" w:ascii="Arial Narrow" w:hAnsi="Arial Narrow"/>
          <w:sz w:val="22"/>
        </w:rPr>
        <w:t>12日</w:t>
      </w:r>
    </w:p>
    <w:p>
      <w:pPr>
        <w:pStyle w:val="10"/>
        <w:ind w:firstLine="0" w:firstLineChars="0"/>
        <w:rPr>
          <w:rFonts w:ascii="Arial Narrow" w:hAnsi="Arial Narrow" w:cs="宋体"/>
          <w:szCs w:val="21"/>
        </w:rPr>
      </w:pPr>
      <w:r>
        <w:rPr>
          <w:rFonts w:hint="eastAsia" w:ascii="Arial Narrow" w:hAnsi="Arial Narrow" w:cs="宋体"/>
          <w:szCs w:val="21"/>
        </w:rPr>
        <w:t xml:space="preserve">  </w:t>
      </w:r>
    </w:p>
    <w:p>
      <w:pPr>
        <w:widowControl/>
        <w:spacing w:line="360" w:lineRule="auto"/>
        <w:ind w:firstLine="420" w:firstLineChars="200"/>
        <w:jc w:val="left"/>
        <w:rPr>
          <w:rFonts w:ascii="Arial Narrow" w:hAnsiTheme="minorEastAsia"/>
          <w:sz w:val="22"/>
        </w:rPr>
      </w:pPr>
      <w:r>
        <w:rPr>
          <w:rFonts w:hint="eastAsia" w:asciiTheme="minorEastAsia" w:hAnsiTheme="minorEastAsia" w:eastAsiaTheme="minorEastAsia" w:cstheme="minorHAnsi"/>
          <w:szCs w:val="21"/>
        </w:rPr>
        <w:t>满足</w:t>
      </w:r>
      <w:r>
        <w:rPr>
          <w:rFonts w:asciiTheme="minorEastAsia" w:hAnsiTheme="minorEastAsia" w:eastAsiaTheme="minorEastAsia" w:cstheme="minorHAnsi"/>
          <w:szCs w:val="21"/>
        </w:rPr>
        <w:t>华盛顿大学录取要求</w:t>
      </w:r>
      <w:r>
        <w:rPr>
          <w:rFonts w:hint="eastAsia" w:asciiTheme="minorEastAsia" w:hAnsiTheme="minorEastAsia" w:eastAsiaTheme="minorEastAsia" w:cstheme="minorHAnsi"/>
          <w:szCs w:val="21"/>
        </w:rPr>
        <w:t>要求</w:t>
      </w:r>
      <w:r>
        <w:rPr>
          <w:rFonts w:asciiTheme="minorEastAsia" w:hAnsiTheme="minorEastAsia" w:eastAsiaTheme="minorEastAsia" w:cstheme="minorHAnsi"/>
          <w:szCs w:val="21"/>
        </w:rPr>
        <w:t>并希望提高专业水平的同学，通过</w:t>
      </w:r>
      <w:r>
        <w:rPr>
          <w:rFonts w:hint="eastAsia" w:asciiTheme="minorEastAsia" w:hAnsiTheme="minorEastAsia" w:eastAsiaTheme="minorEastAsia" w:cstheme="minorHAnsi"/>
          <w:szCs w:val="21"/>
        </w:rPr>
        <w:t>本校、锐尔教育、以及华盛顿大学的共同</w:t>
      </w:r>
      <w:r>
        <w:rPr>
          <w:rFonts w:asciiTheme="minorEastAsia" w:hAnsiTheme="minorEastAsia" w:eastAsiaTheme="minorEastAsia" w:cstheme="minorHAnsi"/>
          <w:szCs w:val="21"/>
        </w:rPr>
        <w:t>选拔后，</w:t>
      </w:r>
      <w:r>
        <w:rPr>
          <w:rFonts w:hint="eastAsia" w:asciiTheme="minorEastAsia" w:hAnsiTheme="minorEastAsia" w:eastAsiaTheme="minorEastAsia" w:cstheme="minorHAnsi"/>
          <w:szCs w:val="21"/>
        </w:rPr>
        <w:t>可以与华盛顿大学</w:t>
      </w:r>
      <w:r>
        <w:rPr>
          <w:rFonts w:asciiTheme="minorEastAsia" w:hAnsiTheme="minorEastAsia" w:eastAsiaTheme="minorEastAsia" w:cstheme="minorHAnsi"/>
          <w:szCs w:val="21"/>
        </w:rPr>
        <w:t>本科学生一起学习</w:t>
      </w:r>
      <w:r>
        <w:rPr>
          <w:rFonts w:hint="eastAsia" w:asciiTheme="minorEastAsia" w:hAnsiTheme="minorEastAsia" w:eastAsiaTheme="minorEastAsia" w:cstheme="minorHAnsi"/>
          <w:szCs w:val="21"/>
        </w:rPr>
        <w:t>与本专业相关的</w:t>
      </w:r>
      <w:r>
        <w:rPr>
          <w:rFonts w:asciiTheme="minorEastAsia" w:hAnsiTheme="minorEastAsia" w:eastAsiaTheme="minorEastAsia" w:cstheme="minorHAnsi"/>
          <w:szCs w:val="21"/>
        </w:rPr>
        <w:t>学分课程</w:t>
      </w:r>
      <w:r>
        <w:rPr>
          <w:rFonts w:hint="eastAsia" w:asciiTheme="minorEastAsia" w:hAnsiTheme="minorEastAsia" w:eastAsiaTheme="minorEastAsia" w:cstheme="minorHAnsi"/>
          <w:szCs w:val="21"/>
        </w:rPr>
        <w:t>，</w:t>
      </w:r>
      <w:r>
        <w:rPr>
          <w:rFonts w:asciiTheme="minorEastAsia" w:hAnsiTheme="minorEastAsia" w:eastAsiaTheme="minorEastAsia" w:cstheme="minorHAnsi"/>
          <w:szCs w:val="21"/>
        </w:rPr>
        <w:t>顺利完成</w:t>
      </w:r>
      <w:r>
        <w:rPr>
          <w:rFonts w:hint="eastAsia" w:asciiTheme="minorEastAsia" w:hAnsiTheme="minorEastAsia" w:eastAsiaTheme="minorEastAsia" w:cstheme="minorHAnsi"/>
          <w:szCs w:val="21"/>
        </w:rPr>
        <w:t>学业后，</w:t>
      </w:r>
      <w:r>
        <w:rPr>
          <w:rFonts w:asciiTheme="minorEastAsia" w:hAnsiTheme="minorEastAsia" w:eastAsiaTheme="minorEastAsia" w:cstheme="minorHAnsi"/>
          <w:szCs w:val="21"/>
        </w:rPr>
        <w:t>获得</w:t>
      </w:r>
      <w:r>
        <w:rPr>
          <w:rFonts w:hint="eastAsia" w:asciiTheme="minorEastAsia" w:hAnsiTheme="minorEastAsia" w:eastAsiaTheme="minorEastAsia" w:cstheme="minorHAnsi"/>
          <w:szCs w:val="21"/>
        </w:rPr>
        <w:t>华盛顿</w:t>
      </w:r>
      <w:r>
        <w:rPr>
          <w:rFonts w:asciiTheme="minorEastAsia" w:hAnsiTheme="minorEastAsia" w:eastAsiaTheme="minorEastAsia" w:cstheme="minorHAnsi"/>
          <w:szCs w:val="21"/>
        </w:rPr>
        <w:t>大学</w:t>
      </w:r>
      <w:r>
        <w:rPr>
          <w:rFonts w:hint="eastAsia" w:asciiTheme="minorEastAsia" w:hAnsiTheme="minorEastAsia" w:eastAsiaTheme="minorEastAsia" w:cstheme="minorHAnsi"/>
          <w:szCs w:val="21"/>
        </w:rPr>
        <w:t>学分和</w:t>
      </w:r>
      <w:r>
        <w:rPr>
          <w:rFonts w:asciiTheme="minorEastAsia" w:hAnsiTheme="minorEastAsia" w:eastAsiaTheme="minorEastAsia" w:cstheme="minorHAnsi"/>
          <w:szCs w:val="21"/>
        </w:rPr>
        <w:t>成绩单，经</w:t>
      </w:r>
      <w:r>
        <w:rPr>
          <w:rFonts w:hint="eastAsia" w:asciiTheme="minorEastAsia" w:hAnsiTheme="minorEastAsia" w:eastAsiaTheme="minorEastAsia" w:cstheme="minorHAnsi"/>
          <w:szCs w:val="21"/>
        </w:rPr>
        <w:t>本校</w:t>
      </w:r>
      <w:r>
        <w:rPr>
          <w:rFonts w:asciiTheme="minorEastAsia" w:hAnsiTheme="minorEastAsia" w:eastAsiaTheme="minorEastAsia" w:cstheme="minorHAnsi"/>
          <w:szCs w:val="21"/>
        </w:rPr>
        <w:t>教务处</w:t>
      </w:r>
      <w:r>
        <w:rPr>
          <w:rFonts w:hint="eastAsia" w:asciiTheme="minorEastAsia" w:hAnsiTheme="minorEastAsia" w:eastAsiaTheme="minorEastAsia" w:cstheme="minorHAnsi"/>
          <w:szCs w:val="21"/>
        </w:rPr>
        <w:t>或院系评估</w:t>
      </w:r>
      <w:r>
        <w:rPr>
          <w:rFonts w:asciiTheme="minorEastAsia" w:hAnsiTheme="minorEastAsia" w:eastAsiaTheme="minorEastAsia" w:cstheme="minorHAnsi"/>
          <w:szCs w:val="21"/>
        </w:rPr>
        <w:t>认可的学分可转为本校学分。</w:t>
      </w:r>
      <w:r>
        <w:rPr>
          <w:rFonts w:hint="eastAsia" w:asciiTheme="minorEastAsia" w:hAnsiTheme="minorEastAsia" w:eastAsiaTheme="minorEastAsia" w:cstheme="minorHAnsi"/>
          <w:szCs w:val="21"/>
        </w:rPr>
        <w:t>华盛顿大学</w:t>
      </w:r>
      <w:r>
        <w:rPr>
          <w:rFonts w:hint="eastAsia" w:ascii="Arial Narrow" w:hAnsiTheme="minorEastAsia"/>
          <w:sz w:val="22"/>
        </w:rPr>
        <w:t>课程由以下三部分组成：</w:t>
      </w:r>
    </w:p>
    <w:p>
      <w:pPr>
        <w:widowControl/>
        <w:spacing w:line="360" w:lineRule="auto"/>
        <w:ind w:firstLine="420" w:firstLineChars="200"/>
        <w:jc w:val="left"/>
        <w:rPr>
          <w:rFonts w:asciiTheme="minorEastAsia" w:hAnsiTheme="minorEastAsia" w:eastAsiaTheme="minorEastAsia" w:cstheme="minorHAnsi"/>
          <w:szCs w:val="21"/>
        </w:rPr>
      </w:pPr>
    </w:p>
    <w:p>
      <w:pPr>
        <w:pStyle w:val="10"/>
        <w:numPr>
          <w:ilvl w:val="0"/>
          <w:numId w:val="3"/>
        </w:numPr>
        <w:ind w:firstLineChars="0"/>
        <w:jc w:val="left"/>
        <w:rPr>
          <w:rFonts w:ascii="Arial Narrow" w:hAnsiTheme="minorEastAsia"/>
          <w:sz w:val="22"/>
        </w:rPr>
      </w:pPr>
      <w:r>
        <w:rPr>
          <w:rFonts w:hint="eastAsia" w:ascii="Arial Narrow" w:hAnsiTheme="minorEastAsia"/>
          <w:sz w:val="22"/>
        </w:rPr>
        <w:t>1门学术建议研讨课（继续教育学院课程，3学分，）</w:t>
      </w:r>
    </w:p>
    <w:p>
      <w:pPr>
        <w:pStyle w:val="10"/>
        <w:numPr>
          <w:ilvl w:val="0"/>
          <w:numId w:val="3"/>
        </w:numPr>
        <w:ind w:firstLineChars="0"/>
        <w:jc w:val="left"/>
        <w:rPr>
          <w:rFonts w:ascii="Arial Narrow" w:hAnsiTheme="minorEastAsia"/>
          <w:sz w:val="22"/>
        </w:rPr>
      </w:pPr>
      <w:r>
        <w:rPr>
          <w:rFonts w:hint="eastAsia" w:ascii="Arial Narrow" w:hAnsiTheme="minorEastAsia"/>
          <w:sz w:val="22"/>
        </w:rPr>
        <w:t>1门国际学院提供的国际研究相关课程（政治、经济、环境等，5学分）</w:t>
      </w:r>
    </w:p>
    <w:p>
      <w:pPr>
        <w:pStyle w:val="10"/>
        <w:numPr>
          <w:ilvl w:val="0"/>
          <w:numId w:val="3"/>
        </w:numPr>
        <w:ind w:firstLineChars="0"/>
        <w:jc w:val="left"/>
        <w:rPr>
          <w:rFonts w:ascii="Arial Narrow" w:hAnsiTheme="minorEastAsia"/>
          <w:sz w:val="22"/>
        </w:rPr>
      </w:pPr>
      <w:r>
        <w:rPr>
          <w:rFonts w:hint="eastAsia" w:ascii="Arial Narrow" w:hAnsiTheme="minorEastAsia"/>
          <w:sz w:val="22"/>
        </w:rPr>
        <w:t>2门全校范围内选修课程（结合自己专业情况选择，10学分）</w:t>
      </w:r>
    </w:p>
    <w:p>
      <w:pPr>
        <w:ind w:left="330" w:hanging="330" w:hangingChars="150"/>
        <w:rPr>
          <w:rFonts w:ascii="Arial Narrow" w:hAnsiTheme="minorEastAsia"/>
          <w:sz w:val="22"/>
        </w:rPr>
      </w:pPr>
      <w:r>
        <w:rPr>
          <w:rFonts w:ascii="Arial Narrow" w:hAnsiTheme="minorEastAsia"/>
          <w:sz w:val="22"/>
        </w:rPr>
        <w:t>国际研究相关课程：二选一</w:t>
      </w:r>
      <w:r>
        <w:rPr>
          <w:rFonts w:hint="eastAsia" w:ascii="Arial Narrow" w:hAnsiTheme="minorEastAsia"/>
          <w:sz w:val="22"/>
        </w:rPr>
        <w:t>，</w:t>
      </w:r>
      <w:r>
        <w:rPr>
          <w:rFonts w:ascii="Arial Narrow" w:hAnsiTheme="minorEastAsia"/>
          <w:sz w:val="22"/>
        </w:rPr>
        <w:t>该课程为</w:t>
      </w:r>
      <w:r>
        <w:rPr>
          <w:rFonts w:ascii="Arial Narrow" w:hAnsi="Arial Narrow"/>
          <w:sz w:val="22"/>
        </w:rPr>
        <w:t>2019</w:t>
      </w:r>
      <w:r>
        <w:rPr>
          <w:rFonts w:ascii="Arial Narrow" w:hAnsiTheme="minorEastAsia"/>
          <w:sz w:val="22"/>
        </w:rPr>
        <w:t>年春季开放课程，仅供参考</w:t>
      </w:r>
      <w:r>
        <w:rPr>
          <w:rFonts w:hint="eastAsia" w:ascii="Arial Narrow" w:hAnsiTheme="minorEastAsia"/>
          <w:sz w:val="22"/>
        </w:rPr>
        <w:t>。</w:t>
      </w:r>
    </w:p>
    <w:p>
      <w:pPr>
        <w:ind w:left="330" w:hanging="330" w:hangingChars="150"/>
        <w:rPr>
          <w:rFonts w:ascii="Arial Narrow" w:hAnsi="Arial Narrow"/>
          <w:sz w:val="22"/>
        </w:rPr>
      </w:pPr>
      <w:r>
        <w:rPr>
          <w:rFonts w:ascii="Arial Narrow" w:hAnsi="Arial Narrow" w:cs="Calibri"/>
          <w:sz w:val="22"/>
          <w:shd w:val="clear" w:color="auto" w:fill="FFFFFF"/>
        </w:rPr>
        <w:t>Digital Storytelling and global citizenship</w:t>
      </w:r>
    </w:p>
    <w:p>
      <w:pPr>
        <w:ind w:left="330" w:hanging="330" w:hangingChars="150"/>
        <w:rPr>
          <w:rFonts w:ascii="Arial Narrow" w:hAnsi="Arial Narrow"/>
          <w:sz w:val="22"/>
        </w:rPr>
      </w:pPr>
      <w:r>
        <w:rPr>
          <w:rFonts w:ascii="Arial Narrow" w:hAnsi="Arial Narrow" w:cs="Calibri"/>
          <w:sz w:val="22"/>
          <w:shd w:val="clear" w:color="auto" w:fill="FFFFFF"/>
        </w:rPr>
        <w:t>The Rise of English as a Global Language</w:t>
      </w:r>
    </w:p>
    <w:p>
      <w:pPr>
        <w:textAlignment w:val="center"/>
        <w:rPr>
          <w:rFonts w:ascii="Arial Narrow" w:hAnsiTheme="minorEastAsia"/>
          <w:sz w:val="22"/>
        </w:rPr>
      </w:pPr>
    </w:p>
    <w:p>
      <w:pPr>
        <w:textAlignment w:val="center"/>
        <w:rPr>
          <w:rFonts w:ascii="Arial Narrow" w:hAnsiTheme="minorEastAsia"/>
          <w:sz w:val="22"/>
        </w:rPr>
      </w:pPr>
      <w:r>
        <w:rPr>
          <w:rFonts w:ascii="Arial Narrow" w:hAnsiTheme="minorEastAsia"/>
          <w:sz w:val="22"/>
        </w:rPr>
        <w:t>全校范围选修课程需开学后在有空位基础上进行选择，在项目学术指导老师的辅导下进行选课；</w:t>
      </w:r>
      <w:r>
        <w:rPr>
          <w:rFonts w:ascii="Arial Narrow" w:hAnsi="Arial Narrow"/>
          <w:sz w:val="22"/>
        </w:rPr>
        <w:t>100-400</w:t>
      </w:r>
      <w:r>
        <w:rPr>
          <w:rFonts w:ascii="Arial Narrow" w:hAnsiTheme="minorEastAsia"/>
          <w:sz w:val="22"/>
        </w:rPr>
        <w:t>的课程均可选。</w:t>
      </w:r>
      <w:r>
        <w:rPr>
          <w:rFonts w:hint="eastAsia" w:ascii="Arial Narrow" w:hAnsiTheme="minorEastAsia"/>
          <w:sz w:val="22"/>
        </w:rPr>
        <w:t>可选</w:t>
      </w:r>
      <w:r>
        <w:rPr>
          <w:rFonts w:ascii="Arial Narrow" w:hAnsiTheme="minorEastAsia"/>
          <w:sz w:val="22"/>
        </w:rPr>
        <w:t>专业</w:t>
      </w:r>
      <w:r>
        <w:rPr>
          <w:rFonts w:hint="eastAsia" w:ascii="Arial Narrow" w:hAnsiTheme="minorEastAsia"/>
          <w:sz w:val="22"/>
        </w:rPr>
        <w:t>包括</w:t>
      </w:r>
      <w:r>
        <w:rPr>
          <w:rFonts w:ascii="Arial Narrow" w:hAnsiTheme="minorEastAsia"/>
          <w:sz w:val="22"/>
        </w:rPr>
        <w:t>：数学、物理、化学、经济、政治、历史、音乐、舞蹈、心理学、教育学、生物科学、微生物工程、地球科学、核物理、航天工程、听力学、临床心理学、计算机科学、计算机工程、工商管理、法学、工程、动物学、森林学、海洋生物学、国际研究以及七十多门外国语课程等等。</w:t>
      </w:r>
    </w:p>
    <w:p>
      <w:pPr>
        <w:textAlignment w:val="center"/>
      </w:pPr>
      <w:r>
        <w:rPr>
          <w:rFonts w:ascii="Arial Narrow" w:hAnsiTheme="minorEastAsia"/>
          <w:sz w:val="22"/>
        </w:rPr>
        <w:t>具体课程请点击链接查看：</w:t>
      </w:r>
      <w:r>
        <w:fldChar w:fldCharType="begin"/>
      </w:r>
      <w:r>
        <w:instrText xml:space="preserve"> HYPERLINK "https://www.washington.edu/students/timeschd/" </w:instrText>
      </w:r>
      <w:r>
        <w:fldChar w:fldCharType="separate"/>
      </w:r>
      <w:r>
        <w:rPr>
          <w:rStyle w:val="7"/>
          <w:rFonts w:ascii="Arial Narrow" w:hAnsi="Arial Narrow"/>
          <w:sz w:val="22"/>
        </w:rPr>
        <w:t>https://www.washington.edu/students/timeschd/</w:t>
      </w:r>
      <w:r>
        <w:rPr>
          <w:rStyle w:val="7"/>
          <w:rFonts w:ascii="Arial Narrow" w:hAnsi="Arial Narrow"/>
          <w:sz w:val="22"/>
        </w:rPr>
        <w:fldChar w:fldCharType="end"/>
      </w:r>
    </w:p>
    <w:p>
      <w:pPr>
        <w:textAlignment w:val="center"/>
        <w:rPr>
          <w:rFonts w:ascii="Arial Narrow" w:hAnsi="Arial Narrow"/>
          <w:sz w:val="22"/>
        </w:rPr>
      </w:pPr>
    </w:p>
    <w:p>
      <w:pPr>
        <w:textAlignment w:val="center"/>
        <w:rPr>
          <w:rFonts w:ascii="Arial Narrow" w:hAnsi="Arial Narrow"/>
          <w:kern w:val="0"/>
          <w:sz w:val="22"/>
        </w:rPr>
      </w:pPr>
      <w:r>
        <w:rPr>
          <w:rFonts w:ascii="Arial Narrow" w:hAnsiTheme="minorEastAsia"/>
          <w:sz w:val="22"/>
        </w:rPr>
        <w:t>以下课程不对国际生开放</w:t>
      </w:r>
      <w:r>
        <w:rPr>
          <w:rFonts w:hint="eastAsia" w:ascii="Arial Narrow" w:hAnsiTheme="minorEastAsia"/>
          <w:sz w:val="22"/>
        </w:rPr>
        <w:t>：</w:t>
      </w:r>
      <w:r>
        <w:rPr>
          <w:rFonts w:ascii="Arial Narrow" w:hAnsi="Arial Narrow"/>
          <w:kern w:val="0"/>
          <w:sz w:val="22"/>
        </w:rPr>
        <w:t>Aeronautics &amp; Astronautics</w:t>
      </w:r>
      <w:r>
        <w:rPr>
          <w:rFonts w:hint="eastAsia" w:ascii="Arial Narrow" w:hAnsi="Symbol"/>
          <w:kern w:val="0"/>
          <w:sz w:val="22"/>
        </w:rPr>
        <w:t xml:space="preserve">, </w:t>
      </w:r>
      <w:r>
        <w:rPr>
          <w:rFonts w:ascii="Arial Narrow" w:hAnsi="Arial Narrow"/>
          <w:kern w:val="0"/>
          <w:sz w:val="22"/>
        </w:rPr>
        <w:t>Social Work</w:t>
      </w:r>
      <w:r>
        <w:rPr>
          <w:rFonts w:hint="eastAsia" w:ascii="Arial Narrow" w:hAnsi="Symbol"/>
          <w:kern w:val="0"/>
          <w:sz w:val="22"/>
        </w:rPr>
        <w:t>,</w:t>
      </w:r>
      <w:r>
        <w:rPr>
          <w:rFonts w:ascii="Arial Narrow" w:hAnsi="Arial Narrow"/>
          <w:kern w:val="0"/>
          <w:sz w:val="22"/>
        </w:rPr>
        <w:t> Drama</w:t>
      </w:r>
      <w:r>
        <w:rPr>
          <w:rFonts w:hint="eastAsia" w:ascii="Arial Narrow" w:hAnsi="Symbol"/>
          <w:kern w:val="0"/>
          <w:sz w:val="22"/>
        </w:rPr>
        <w:t xml:space="preserve">, </w:t>
      </w:r>
      <w:r>
        <w:rPr>
          <w:rFonts w:ascii="Arial Narrow" w:hAnsi="Arial Narrow"/>
          <w:kern w:val="0"/>
          <w:sz w:val="22"/>
        </w:rPr>
        <w:t>Art</w:t>
      </w:r>
      <w:r>
        <w:rPr>
          <w:rFonts w:hint="eastAsia" w:ascii="Arial Narrow" w:hAnsi="Arial Narrow"/>
          <w:kern w:val="0"/>
          <w:sz w:val="22"/>
        </w:rPr>
        <w:t xml:space="preserve">, </w:t>
      </w:r>
      <w:r>
        <w:rPr>
          <w:rFonts w:ascii="Arial Narrow" w:hAnsi="Arial Narrow"/>
          <w:kern w:val="0"/>
          <w:sz w:val="22"/>
        </w:rPr>
        <w:t>Digital Arts and Experimental Media</w:t>
      </w:r>
      <w:r>
        <w:rPr>
          <w:rFonts w:hint="eastAsia" w:ascii="Arial Narrow" w:hAnsi="Symbol"/>
          <w:kern w:val="0"/>
          <w:sz w:val="22"/>
        </w:rPr>
        <w:t xml:space="preserve">, </w:t>
      </w:r>
      <w:r>
        <w:rPr>
          <w:rFonts w:ascii="Arial Narrow" w:hAnsi="Arial Narrow"/>
          <w:kern w:val="0"/>
          <w:sz w:val="22"/>
        </w:rPr>
        <w:t>Honors courses</w:t>
      </w:r>
      <w:r>
        <w:rPr>
          <w:rFonts w:hint="eastAsia" w:ascii="Arial Narrow" w:hAnsi="Symbol"/>
          <w:kern w:val="0"/>
          <w:sz w:val="22"/>
        </w:rPr>
        <w:t xml:space="preserve">, </w:t>
      </w:r>
      <w:r>
        <w:rPr>
          <w:rFonts w:ascii="Arial Narrow" w:hAnsi="Arial Narrow"/>
          <w:kern w:val="0"/>
          <w:sz w:val="22"/>
        </w:rPr>
        <w:t>Medicine</w:t>
      </w:r>
      <w:r>
        <w:rPr>
          <w:rFonts w:hint="eastAsia" w:ascii="Arial Narrow" w:hAnsi="Symbol"/>
          <w:kern w:val="0"/>
          <w:sz w:val="22"/>
        </w:rPr>
        <w:t xml:space="preserve">, </w:t>
      </w:r>
      <w:r>
        <w:rPr>
          <w:rFonts w:ascii="Arial Narrow" w:hAnsi="Arial Narrow"/>
          <w:kern w:val="0"/>
          <w:sz w:val="22"/>
        </w:rPr>
        <w:t>Dentistry</w:t>
      </w:r>
      <w:r>
        <w:rPr>
          <w:rFonts w:hint="eastAsia" w:ascii="Arial Narrow" w:hAnsi="Symbol"/>
          <w:kern w:val="0"/>
          <w:sz w:val="22"/>
        </w:rPr>
        <w:t xml:space="preserve">, </w:t>
      </w:r>
      <w:r>
        <w:rPr>
          <w:rFonts w:ascii="Arial Narrow" w:hAnsi="Arial Narrow"/>
          <w:kern w:val="0"/>
          <w:sz w:val="22"/>
        </w:rPr>
        <w:t>Online Courses</w:t>
      </w:r>
      <w:r>
        <w:rPr>
          <w:rFonts w:hint="eastAsia" w:ascii="Arial Narrow" w:hAnsi="Arial Narrow"/>
          <w:kern w:val="0"/>
          <w:sz w:val="22"/>
        </w:rPr>
        <w:t>。</w:t>
      </w:r>
      <w:r>
        <w:rPr>
          <w:rFonts w:ascii="Arial Narrow" w:hAnsiTheme="minorEastAsia"/>
          <w:sz w:val="22"/>
        </w:rPr>
        <w:t>另外社会学、法律、商务和工程为热门专业，选课有一定难度，专业学术导师将指导学生进行选课。</w:t>
      </w:r>
    </w:p>
    <w:p>
      <w:pPr>
        <w:widowControl/>
        <w:spacing w:line="360" w:lineRule="auto"/>
        <w:ind w:firstLine="422" w:firstLineChars="200"/>
        <w:jc w:val="left"/>
        <w:rPr>
          <w:rFonts w:asciiTheme="minorEastAsia" w:hAnsiTheme="minorEastAsia" w:eastAsiaTheme="minorEastAsia" w:cstheme="minorHAnsi"/>
          <w:b/>
          <w:szCs w:val="21"/>
        </w:rPr>
      </w:pPr>
    </w:p>
    <w:p>
      <w:pPr>
        <w:widowControl/>
        <w:spacing w:line="360" w:lineRule="auto"/>
        <w:jc w:val="left"/>
        <w:rPr>
          <w:rFonts w:asciiTheme="minorEastAsia" w:hAnsiTheme="minorEastAsia" w:eastAsiaTheme="minorEastAsia" w:cstheme="minorHAnsi"/>
          <w:szCs w:val="21"/>
        </w:rPr>
      </w:pPr>
      <w:r>
        <w:rPr>
          <w:rFonts w:asciiTheme="minorEastAsia" w:hAnsiTheme="minorEastAsia" w:eastAsiaTheme="minorEastAsia" w:cstheme="minorHAnsi"/>
          <w:szCs w:val="21"/>
        </w:rPr>
        <w:t>其他活动：</w:t>
      </w:r>
      <w:r>
        <w:rPr>
          <w:rFonts w:hint="eastAsia" w:asciiTheme="minorEastAsia" w:hAnsiTheme="minorEastAsia" w:eastAsiaTheme="minorEastAsia" w:cstheme="minorHAnsi"/>
          <w:szCs w:val="21"/>
        </w:rPr>
        <w:t>华盛顿</w:t>
      </w:r>
      <w:r>
        <w:rPr>
          <w:rFonts w:asciiTheme="minorEastAsia" w:hAnsiTheme="minorEastAsia" w:eastAsiaTheme="minorEastAsia" w:cstheme="minorHAnsi"/>
          <w:szCs w:val="21"/>
        </w:rPr>
        <w:t>大学位于西雅图</w:t>
      </w:r>
      <w:r>
        <w:rPr>
          <w:rFonts w:hint="eastAsia" w:asciiTheme="minorEastAsia" w:hAnsiTheme="minorEastAsia" w:eastAsiaTheme="minorEastAsia" w:cstheme="minorHAnsi"/>
          <w:szCs w:val="21"/>
        </w:rPr>
        <w:t>，西雅图在航天、计算机软件、生物信息科学、基因科学、远程医疗、电子设备、医疗设备、环境工程等先进技术处于领导地位。西雅图是一个表演艺术的中心。西雅图交响乐团有上百年的历史，是世界上出版唱片最多的交响乐团之一；西雅图在流行音乐和现代音乐方面也非常多样和活跃，非常值得探索的一个城市。</w:t>
      </w:r>
    </w:p>
    <w:p>
      <w:pPr>
        <w:widowControl/>
        <w:spacing w:line="360" w:lineRule="auto"/>
        <w:jc w:val="left"/>
        <w:rPr>
          <w:rFonts w:asciiTheme="minorEastAsia" w:hAnsiTheme="minorEastAsia" w:eastAsiaTheme="minorEastAsia" w:cstheme="minorHAnsi"/>
          <w:szCs w:val="21"/>
        </w:rPr>
      </w:pPr>
    </w:p>
    <w:p>
      <w:pPr>
        <w:spacing w:line="360" w:lineRule="auto"/>
        <w:rPr>
          <w:rFonts w:cs="Calibri" w:asciiTheme="minorEastAsia" w:hAnsiTheme="minorEastAsia" w:eastAsiaTheme="minorEastAsia"/>
          <w:sz w:val="22"/>
        </w:rPr>
      </w:pPr>
      <w:r>
        <w:rPr>
          <w:rFonts w:hint="eastAsia" w:cs="Calibri" w:asciiTheme="minorEastAsia" w:hAnsiTheme="minorEastAsia" w:eastAsiaTheme="minorEastAsia"/>
          <w:sz w:val="22"/>
        </w:rPr>
        <w:t>所有参加访学学生均可获得华盛顿大学正式注册的学生证，凭借学生证可在项目期内，按校方规定使用学校的校园设施与教育资源，包括图书馆、健身房、活动中心等。</w:t>
      </w:r>
    </w:p>
    <w:p>
      <w:pPr>
        <w:spacing w:line="360" w:lineRule="auto"/>
        <w:ind w:left="420" w:leftChars="200"/>
        <w:rPr>
          <w:rFonts w:cs="Calibri" w:asciiTheme="minorEastAsia" w:hAnsiTheme="minorEastAsia" w:eastAsiaTheme="minorEastAsia"/>
          <w:sz w:val="22"/>
        </w:rPr>
      </w:pPr>
    </w:p>
    <w:p>
      <w:pPr>
        <w:numPr>
          <w:ilvl w:val="0"/>
          <w:numId w:val="1"/>
        </w:numPr>
        <w:rPr>
          <w:rFonts w:ascii="Arial Narrow" w:hAnsi="Arial Narrow"/>
          <w:b/>
          <w:sz w:val="22"/>
        </w:rPr>
      </w:pPr>
      <w:r>
        <w:rPr>
          <w:rFonts w:ascii="Arial Narrow"/>
          <w:b/>
          <w:sz w:val="22"/>
        </w:rPr>
        <w:t>录取要求</w:t>
      </w:r>
    </w:p>
    <w:p>
      <w:pPr>
        <w:rPr>
          <w:rFonts w:ascii="Arial Narrow" w:hAnsi="Arial Narrow"/>
          <w:b/>
          <w:sz w:val="22"/>
        </w:rPr>
      </w:pPr>
    </w:p>
    <w:p>
      <w:pPr>
        <w:pStyle w:val="10"/>
        <w:numPr>
          <w:ilvl w:val="0"/>
          <w:numId w:val="4"/>
        </w:numPr>
        <w:ind w:firstLineChars="0"/>
        <w:rPr>
          <w:rFonts w:ascii="Arial Narrow" w:hAnsi="Arial Narrow" w:eastAsiaTheme="minorEastAsia"/>
          <w:color w:val="000000"/>
          <w:sz w:val="22"/>
        </w:rPr>
      </w:pPr>
      <w:r>
        <w:rPr>
          <w:rFonts w:hint="eastAsia" w:ascii="Arial Narrow" w:hAnsiTheme="minorEastAsia" w:eastAsiaTheme="minorEastAsia"/>
          <w:color w:val="000000"/>
          <w:sz w:val="22"/>
        </w:rPr>
        <w:t>大二</w:t>
      </w:r>
      <w:r>
        <w:rPr>
          <w:rFonts w:ascii="Arial Narrow" w:hAnsiTheme="minorEastAsia" w:eastAsiaTheme="minorEastAsia"/>
          <w:color w:val="000000"/>
          <w:sz w:val="22"/>
        </w:rPr>
        <w:t>以上全日制本科生或研究生</w:t>
      </w:r>
    </w:p>
    <w:p>
      <w:pPr>
        <w:pStyle w:val="10"/>
        <w:numPr>
          <w:ilvl w:val="0"/>
          <w:numId w:val="4"/>
        </w:numPr>
        <w:ind w:firstLineChars="0"/>
        <w:rPr>
          <w:rFonts w:ascii="Arial Narrow" w:hAnsi="Arial Narrow" w:eastAsiaTheme="minorEastAsia"/>
          <w:color w:val="000000"/>
          <w:sz w:val="22"/>
        </w:rPr>
      </w:pPr>
      <w:r>
        <w:rPr>
          <w:rFonts w:ascii="Arial Narrow" w:hAnsi="Arial Narrow" w:eastAsiaTheme="minorEastAsia"/>
          <w:color w:val="000000"/>
          <w:sz w:val="22"/>
        </w:rPr>
        <w:t>GPA</w:t>
      </w:r>
      <w:r>
        <w:rPr>
          <w:rFonts w:ascii="Arial Narrow" w:hAnsiTheme="minorEastAsia" w:eastAsiaTheme="minorEastAsia"/>
          <w:color w:val="000000"/>
          <w:sz w:val="22"/>
        </w:rPr>
        <w:t>要求：</w:t>
      </w:r>
      <w:r>
        <w:rPr>
          <w:rFonts w:ascii="Arial Narrow" w:hAnsi="Arial Narrow" w:eastAsiaTheme="minorEastAsia"/>
          <w:color w:val="000000"/>
          <w:sz w:val="22"/>
        </w:rPr>
        <w:t>3.0</w:t>
      </w:r>
    </w:p>
    <w:p>
      <w:pPr>
        <w:pStyle w:val="10"/>
        <w:numPr>
          <w:ilvl w:val="0"/>
          <w:numId w:val="4"/>
        </w:numPr>
        <w:ind w:firstLineChars="0"/>
        <w:rPr>
          <w:rFonts w:ascii="Arial Narrow" w:hAnsi="Arial Narrow"/>
          <w:sz w:val="22"/>
        </w:rPr>
      </w:pPr>
      <w:r>
        <w:rPr>
          <w:rFonts w:ascii="Arial Narrow" w:hAnsi="Arial Narrow"/>
          <w:sz w:val="22"/>
        </w:rPr>
        <w:t>英语要求</w:t>
      </w:r>
      <w:r>
        <w:rPr>
          <w:rFonts w:hint="eastAsia" w:ascii="Arial Narrow" w:hAnsi="Arial Narrow"/>
          <w:sz w:val="22"/>
        </w:rPr>
        <w:t>：</w:t>
      </w:r>
      <w:r>
        <w:rPr>
          <w:rFonts w:ascii="Arial Narrow" w:hAnsiTheme="minorEastAsia"/>
          <w:sz w:val="22"/>
        </w:rPr>
        <w:t>托福</w:t>
      </w:r>
      <w:r>
        <w:rPr>
          <w:rFonts w:ascii="Arial Narrow" w:hAnsi="Arial Narrow"/>
          <w:sz w:val="22"/>
        </w:rPr>
        <w:t>92</w:t>
      </w:r>
      <w:r>
        <w:rPr>
          <w:rFonts w:ascii="Arial Narrow" w:hAnsiTheme="minorEastAsia"/>
          <w:sz w:val="22"/>
        </w:rPr>
        <w:t>分以上</w:t>
      </w:r>
      <w:r>
        <w:rPr>
          <w:rFonts w:hint="eastAsia" w:ascii="Arial Narrow" w:hAnsi="Arial Narrow"/>
          <w:sz w:val="22"/>
        </w:rPr>
        <w:t>（单项</w:t>
      </w:r>
      <w:r>
        <w:rPr>
          <w:rFonts w:ascii="Arial Narrow" w:hAnsiTheme="minorEastAsia"/>
          <w:sz w:val="22"/>
        </w:rPr>
        <w:t>不低于</w:t>
      </w:r>
      <w:r>
        <w:rPr>
          <w:rFonts w:ascii="Arial Narrow" w:hAnsi="Arial Narrow"/>
          <w:sz w:val="22"/>
        </w:rPr>
        <w:t>17</w:t>
      </w:r>
      <w:r>
        <w:rPr>
          <w:rFonts w:hint="eastAsia" w:ascii="Arial Narrow" w:hAnsi="Arial Narrow"/>
          <w:sz w:val="22"/>
        </w:rPr>
        <w:t>）</w:t>
      </w:r>
      <w:r>
        <w:rPr>
          <w:rFonts w:ascii="Arial Narrow" w:hAnsiTheme="minorEastAsia"/>
          <w:sz w:val="22"/>
        </w:rPr>
        <w:t>或</w:t>
      </w:r>
      <w:r>
        <w:rPr>
          <w:rFonts w:ascii="Arial Narrow" w:hAnsi="Arial Narrow"/>
          <w:sz w:val="22"/>
        </w:rPr>
        <w:t xml:space="preserve"> 7.0 </w:t>
      </w:r>
      <w:r>
        <w:rPr>
          <w:rFonts w:hint="eastAsia" w:ascii="Arial Narrow" w:hAnsi="Arial Narrow"/>
          <w:sz w:val="22"/>
        </w:rPr>
        <w:t>（单项不低于</w:t>
      </w:r>
      <w:r>
        <w:rPr>
          <w:rFonts w:ascii="Arial Narrow" w:hAnsi="Arial Narrow"/>
          <w:sz w:val="22"/>
        </w:rPr>
        <w:t>6.0</w:t>
      </w:r>
      <w:r>
        <w:rPr>
          <w:rFonts w:hint="eastAsia" w:ascii="Arial Narrow" w:hAnsi="Arial Narrow"/>
          <w:sz w:val="22"/>
        </w:rPr>
        <w:t>）</w:t>
      </w:r>
    </w:p>
    <w:p>
      <w:pPr>
        <w:pStyle w:val="10"/>
        <w:ind w:left="420" w:firstLine="0" w:firstLineChars="0"/>
        <w:rPr>
          <w:rFonts w:ascii="Arial Narrow" w:hAnsi="Arial Narrow"/>
          <w:sz w:val="22"/>
        </w:rPr>
      </w:pPr>
      <w:r>
        <w:rPr>
          <w:rFonts w:ascii="Arial Narrow" w:hAnsiTheme="minorEastAsia"/>
          <w:sz w:val="22"/>
        </w:rPr>
        <w:t>语言不达标者，可以多选语言课程，也可以参加项目，详情请咨询项目指导老师</w:t>
      </w:r>
    </w:p>
    <w:p>
      <w:pPr>
        <w:rPr>
          <w:rFonts w:ascii="Arial Narrow" w:hAnsi="Arial Narrow"/>
          <w:b/>
          <w:sz w:val="22"/>
        </w:rPr>
      </w:pPr>
    </w:p>
    <w:tbl>
      <w:tblPr>
        <w:tblStyle w:val="5"/>
        <w:tblW w:w="8767" w:type="dxa"/>
        <w:tblInd w:w="0" w:type="dxa"/>
        <w:shd w:val="clear" w:color="auto" w:fill="FFFFFF"/>
        <w:tblLayout w:type="fixed"/>
        <w:tblCellMar>
          <w:top w:w="0" w:type="dxa"/>
          <w:left w:w="0" w:type="dxa"/>
          <w:bottom w:w="0" w:type="dxa"/>
          <w:right w:w="0" w:type="dxa"/>
        </w:tblCellMar>
      </w:tblPr>
      <w:tblGrid>
        <w:gridCol w:w="1680"/>
        <w:gridCol w:w="2268"/>
        <w:gridCol w:w="2268"/>
        <w:gridCol w:w="2551"/>
      </w:tblGrid>
      <w:tr>
        <w:tblPrEx>
          <w:shd w:val="clear" w:color="auto" w:fill="FFFFFF"/>
          <w:tblLayout w:type="fixed"/>
          <w:tblCellMar>
            <w:top w:w="0" w:type="dxa"/>
            <w:left w:w="0" w:type="dxa"/>
            <w:bottom w:w="0" w:type="dxa"/>
            <w:right w:w="0" w:type="dxa"/>
          </w:tblCellMar>
        </w:tblPrEx>
        <w:tc>
          <w:tcPr>
            <w:tcW w:w="1680" w:type="dxa"/>
            <w:tcBorders>
              <w:top w:val="single" w:color="FFFFFF" w:sz="12" w:space="0"/>
              <w:left w:val="single" w:color="FFFFFF" w:sz="12" w:space="0"/>
              <w:bottom w:val="single" w:color="FFFFFF" w:sz="12" w:space="0"/>
              <w:right w:val="single" w:color="FFFFFF" w:sz="6" w:space="0"/>
            </w:tcBorders>
            <w:shd w:val="clear" w:color="auto" w:fill="E4E4E4"/>
            <w:tcMar>
              <w:top w:w="75" w:type="dxa"/>
              <w:left w:w="120" w:type="dxa"/>
              <w:bottom w:w="75" w:type="dxa"/>
              <w:right w:w="120" w:type="dxa"/>
            </w:tcMar>
            <w:vAlign w:val="center"/>
          </w:tcPr>
          <w:p>
            <w:pPr>
              <w:widowControl/>
              <w:jc w:val="left"/>
              <w:rPr>
                <w:rFonts w:ascii="Arial" w:hAnsi="Arial" w:cs="Arial"/>
                <w:b/>
                <w:bCs/>
                <w:color w:val="000000"/>
                <w:kern w:val="0"/>
                <w:sz w:val="18"/>
                <w:szCs w:val="18"/>
              </w:rPr>
            </w:pPr>
            <w:r>
              <w:rPr>
                <w:rFonts w:ascii="Arial" w:hAnsi="Arial" w:cs="Arial"/>
                <w:b/>
                <w:bCs/>
                <w:color w:val="000000"/>
                <w:kern w:val="0"/>
                <w:sz w:val="18"/>
                <w:szCs w:val="18"/>
              </w:rPr>
              <w:t>TOEFL Score</w:t>
            </w:r>
          </w:p>
        </w:tc>
        <w:tc>
          <w:tcPr>
            <w:tcW w:w="2268" w:type="dxa"/>
            <w:tcBorders>
              <w:top w:val="single" w:color="FFFFFF" w:sz="12" w:space="0"/>
              <w:left w:val="single" w:color="FFFFFF" w:sz="12" w:space="0"/>
              <w:bottom w:val="single" w:color="FFFFFF" w:sz="12" w:space="0"/>
              <w:right w:val="single" w:color="FFFFFF" w:sz="6" w:space="0"/>
            </w:tcBorders>
            <w:shd w:val="clear" w:color="auto" w:fill="E4E4E4"/>
            <w:tcMar>
              <w:top w:w="75" w:type="dxa"/>
              <w:left w:w="120" w:type="dxa"/>
              <w:bottom w:w="75" w:type="dxa"/>
              <w:right w:w="120" w:type="dxa"/>
            </w:tcMar>
            <w:vAlign w:val="center"/>
          </w:tcPr>
          <w:p>
            <w:pPr>
              <w:widowControl/>
              <w:jc w:val="left"/>
              <w:rPr>
                <w:rFonts w:ascii="Arial" w:hAnsi="Arial" w:cs="Arial"/>
                <w:b/>
                <w:bCs/>
                <w:color w:val="000000"/>
                <w:kern w:val="0"/>
                <w:sz w:val="18"/>
                <w:szCs w:val="18"/>
              </w:rPr>
            </w:pPr>
            <w:r>
              <w:rPr>
                <w:rFonts w:ascii="Arial" w:hAnsi="Arial" w:cs="Arial"/>
                <w:b/>
                <w:bCs/>
                <w:color w:val="000000"/>
                <w:kern w:val="0"/>
                <w:sz w:val="18"/>
                <w:szCs w:val="18"/>
              </w:rPr>
              <w:t>69–75</w:t>
            </w:r>
          </w:p>
        </w:tc>
        <w:tc>
          <w:tcPr>
            <w:tcW w:w="2268" w:type="dxa"/>
            <w:tcBorders>
              <w:top w:val="single" w:color="FFFFFF" w:sz="12" w:space="0"/>
              <w:left w:val="single" w:color="FFFFFF" w:sz="12" w:space="0"/>
              <w:bottom w:val="single" w:color="FFFFFF" w:sz="12" w:space="0"/>
              <w:right w:val="single" w:color="FFFFFF" w:sz="6" w:space="0"/>
            </w:tcBorders>
            <w:shd w:val="clear" w:color="auto" w:fill="E4E4E4"/>
            <w:tcMar>
              <w:top w:w="75" w:type="dxa"/>
              <w:left w:w="120" w:type="dxa"/>
              <w:bottom w:w="75" w:type="dxa"/>
              <w:right w:w="120" w:type="dxa"/>
            </w:tcMar>
            <w:vAlign w:val="center"/>
          </w:tcPr>
          <w:p>
            <w:pPr>
              <w:widowControl/>
              <w:jc w:val="left"/>
              <w:rPr>
                <w:rFonts w:ascii="Arial" w:hAnsi="Arial" w:cs="Arial"/>
                <w:b/>
                <w:bCs/>
                <w:color w:val="000000"/>
                <w:kern w:val="0"/>
                <w:sz w:val="18"/>
                <w:szCs w:val="18"/>
              </w:rPr>
            </w:pPr>
            <w:r>
              <w:rPr>
                <w:rFonts w:ascii="Arial" w:hAnsi="Arial" w:cs="Arial"/>
                <w:b/>
                <w:bCs/>
                <w:color w:val="000000"/>
                <w:kern w:val="0"/>
                <w:sz w:val="18"/>
                <w:szCs w:val="18"/>
              </w:rPr>
              <w:t>76–91</w:t>
            </w:r>
          </w:p>
        </w:tc>
        <w:tc>
          <w:tcPr>
            <w:tcW w:w="2551" w:type="dxa"/>
            <w:tcBorders>
              <w:top w:val="single" w:color="FFFFFF" w:sz="12" w:space="0"/>
              <w:left w:val="single" w:color="FFFFFF" w:sz="12" w:space="0"/>
              <w:bottom w:val="single" w:color="FFFFFF" w:sz="12" w:space="0"/>
              <w:right w:val="single" w:color="FFFFFF" w:sz="6" w:space="0"/>
            </w:tcBorders>
            <w:shd w:val="clear" w:color="auto" w:fill="E4E4E4"/>
            <w:tcMar>
              <w:top w:w="75" w:type="dxa"/>
              <w:left w:w="120" w:type="dxa"/>
              <w:bottom w:w="75" w:type="dxa"/>
              <w:right w:w="120" w:type="dxa"/>
            </w:tcMar>
            <w:vAlign w:val="center"/>
          </w:tcPr>
          <w:p>
            <w:pPr>
              <w:widowControl/>
              <w:jc w:val="left"/>
              <w:rPr>
                <w:rFonts w:ascii="Arial" w:hAnsi="Arial" w:cs="Arial"/>
                <w:b/>
                <w:bCs/>
                <w:color w:val="000000"/>
                <w:kern w:val="0"/>
                <w:sz w:val="18"/>
                <w:szCs w:val="18"/>
              </w:rPr>
            </w:pPr>
            <w:r>
              <w:rPr>
                <w:rFonts w:ascii="Arial" w:hAnsi="Arial" w:cs="Arial"/>
                <w:b/>
                <w:bCs/>
                <w:color w:val="000000"/>
                <w:kern w:val="0"/>
                <w:sz w:val="18"/>
                <w:szCs w:val="18"/>
              </w:rPr>
              <w:t>92 or Higher</w:t>
            </w:r>
          </w:p>
        </w:tc>
      </w:tr>
      <w:tr>
        <w:tblPrEx>
          <w:shd w:val="clear" w:color="auto" w:fill="FFFFFF"/>
          <w:tblLayout w:type="fixed"/>
          <w:tblCellMar>
            <w:top w:w="0" w:type="dxa"/>
            <w:left w:w="0" w:type="dxa"/>
            <w:bottom w:w="0" w:type="dxa"/>
            <w:right w:w="0" w:type="dxa"/>
          </w:tblCellMar>
        </w:tblPrEx>
        <w:tc>
          <w:tcPr>
            <w:tcW w:w="1680" w:type="dxa"/>
            <w:tcBorders>
              <w:top w:val="single" w:color="FFFFFF" w:sz="12" w:space="0"/>
              <w:left w:val="single" w:color="FFFFFF" w:sz="12" w:space="0"/>
              <w:bottom w:val="single" w:color="FFFFFF" w:sz="12" w:space="0"/>
              <w:right w:val="single" w:color="FFFFFF" w:sz="6" w:space="0"/>
            </w:tcBorders>
            <w:shd w:val="clear" w:color="auto" w:fill="E4E4E4"/>
            <w:tcMar>
              <w:top w:w="75" w:type="dxa"/>
              <w:left w:w="120" w:type="dxa"/>
              <w:bottom w:w="75" w:type="dxa"/>
              <w:right w:w="120" w:type="dxa"/>
            </w:tcMar>
            <w:vAlign w:val="center"/>
          </w:tcPr>
          <w:p>
            <w:pPr>
              <w:widowControl/>
              <w:jc w:val="left"/>
              <w:rPr>
                <w:rFonts w:ascii="Arial" w:hAnsi="Arial" w:cs="Arial"/>
                <w:b/>
                <w:bCs/>
                <w:color w:val="000000"/>
                <w:kern w:val="0"/>
                <w:sz w:val="18"/>
                <w:szCs w:val="18"/>
              </w:rPr>
            </w:pPr>
            <w:r>
              <w:rPr>
                <w:rFonts w:ascii="Arial" w:hAnsi="Arial" w:cs="Arial"/>
                <w:b/>
                <w:bCs/>
                <w:color w:val="000000"/>
                <w:kern w:val="0"/>
                <w:sz w:val="18"/>
                <w:szCs w:val="18"/>
              </w:rPr>
              <w:t>IELTS Score</w:t>
            </w:r>
          </w:p>
        </w:tc>
        <w:tc>
          <w:tcPr>
            <w:tcW w:w="2268" w:type="dxa"/>
            <w:tcBorders>
              <w:top w:val="single" w:color="FFFFFF" w:sz="12" w:space="0"/>
              <w:left w:val="single" w:color="FFFFFF" w:sz="12" w:space="0"/>
              <w:bottom w:val="single" w:color="FFFFFF" w:sz="12" w:space="0"/>
              <w:right w:val="single" w:color="FFFFFF" w:sz="6" w:space="0"/>
            </w:tcBorders>
            <w:shd w:val="clear" w:color="auto" w:fill="E4E4E4"/>
            <w:tcMar>
              <w:top w:w="75" w:type="dxa"/>
              <w:left w:w="120" w:type="dxa"/>
              <w:bottom w:w="75" w:type="dxa"/>
              <w:right w:w="120" w:type="dxa"/>
            </w:tcMar>
            <w:vAlign w:val="center"/>
          </w:tcPr>
          <w:p>
            <w:pPr>
              <w:widowControl/>
              <w:jc w:val="left"/>
              <w:rPr>
                <w:rFonts w:ascii="Arial" w:hAnsi="Arial" w:cs="Arial"/>
                <w:b/>
                <w:bCs/>
                <w:color w:val="000000"/>
                <w:kern w:val="0"/>
                <w:sz w:val="18"/>
                <w:szCs w:val="18"/>
              </w:rPr>
            </w:pPr>
            <w:r>
              <w:rPr>
                <w:rFonts w:ascii="Arial" w:hAnsi="Arial" w:cs="Arial"/>
                <w:b/>
                <w:bCs/>
                <w:color w:val="000000"/>
                <w:kern w:val="0"/>
                <w:sz w:val="18"/>
                <w:szCs w:val="18"/>
              </w:rPr>
              <w:t>6.0</w:t>
            </w:r>
          </w:p>
        </w:tc>
        <w:tc>
          <w:tcPr>
            <w:tcW w:w="2268" w:type="dxa"/>
            <w:tcBorders>
              <w:top w:val="single" w:color="FFFFFF" w:sz="12" w:space="0"/>
              <w:left w:val="single" w:color="FFFFFF" w:sz="12" w:space="0"/>
              <w:bottom w:val="single" w:color="FFFFFF" w:sz="12" w:space="0"/>
              <w:right w:val="single" w:color="FFFFFF" w:sz="6" w:space="0"/>
            </w:tcBorders>
            <w:shd w:val="clear" w:color="auto" w:fill="E4E4E4"/>
            <w:tcMar>
              <w:top w:w="75" w:type="dxa"/>
              <w:left w:w="120" w:type="dxa"/>
              <w:bottom w:w="75" w:type="dxa"/>
              <w:right w:w="120" w:type="dxa"/>
            </w:tcMar>
            <w:vAlign w:val="center"/>
          </w:tcPr>
          <w:p>
            <w:pPr>
              <w:widowControl/>
              <w:jc w:val="left"/>
              <w:rPr>
                <w:rFonts w:ascii="Arial" w:hAnsi="Arial" w:cs="Arial"/>
                <w:b/>
                <w:bCs/>
                <w:color w:val="000000"/>
                <w:kern w:val="0"/>
                <w:sz w:val="18"/>
                <w:szCs w:val="18"/>
              </w:rPr>
            </w:pPr>
            <w:r>
              <w:rPr>
                <w:rFonts w:ascii="Arial" w:hAnsi="Arial" w:cs="Arial"/>
                <w:b/>
                <w:bCs/>
                <w:color w:val="000000"/>
                <w:kern w:val="0"/>
                <w:sz w:val="18"/>
                <w:szCs w:val="18"/>
              </w:rPr>
              <w:t>6.5</w:t>
            </w:r>
          </w:p>
        </w:tc>
        <w:tc>
          <w:tcPr>
            <w:tcW w:w="2551" w:type="dxa"/>
            <w:tcBorders>
              <w:top w:val="single" w:color="FFFFFF" w:sz="12" w:space="0"/>
              <w:left w:val="single" w:color="FFFFFF" w:sz="12" w:space="0"/>
              <w:bottom w:val="single" w:color="FFFFFF" w:sz="12" w:space="0"/>
              <w:right w:val="single" w:color="FFFFFF" w:sz="6" w:space="0"/>
            </w:tcBorders>
            <w:shd w:val="clear" w:color="auto" w:fill="E4E4E4"/>
            <w:tcMar>
              <w:top w:w="75" w:type="dxa"/>
              <w:left w:w="120" w:type="dxa"/>
              <w:bottom w:w="75" w:type="dxa"/>
              <w:right w:w="120" w:type="dxa"/>
            </w:tcMar>
            <w:vAlign w:val="center"/>
          </w:tcPr>
          <w:p>
            <w:pPr>
              <w:widowControl/>
              <w:jc w:val="left"/>
              <w:rPr>
                <w:rFonts w:ascii="Arial" w:hAnsi="Arial" w:cs="Arial"/>
                <w:b/>
                <w:bCs/>
                <w:color w:val="000000"/>
                <w:kern w:val="0"/>
                <w:sz w:val="18"/>
                <w:szCs w:val="18"/>
              </w:rPr>
            </w:pPr>
            <w:r>
              <w:rPr>
                <w:rFonts w:ascii="Arial" w:hAnsi="Arial" w:cs="Arial"/>
                <w:b/>
                <w:bCs/>
                <w:color w:val="000000"/>
                <w:kern w:val="0"/>
                <w:sz w:val="18"/>
                <w:szCs w:val="18"/>
              </w:rPr>
              <w:t>7.0</w:t>
            </w:r>
          </w:p>
        </w:tc>
      </w:tr>
      <w:tr>
        <w:tblPrEx>
          <w:shd w:val="clear" w:color="auto" w:fill="FFFFFF"/>
          <w:tblLayout w:type="fixed"/>
          <w:tblCellMar>
            <w:top w:w="0" w:type="dxa"/>
            <w:left w:w="0" w:type="dxa"/>
            <w:bottom w:w="0" w:type="dxa"/>
            <w:right w:w="0" w:type="dxa"/>
          </w:tblCellMar>
        </w:tblPrEx>
        <w:tc>
          <w:tcPr>
            <w:tcW w:w="1680" w:type="dxa"/>
            <w:tcBorders>
              <w:top w:val="single" w:color="FFFFFF" w:sz="12" w:space="0"/>
              <w:left w:val="single" w:color="FFFFFF" w:sz="12" w:space="0"/>
              <w:bottom w:val="single" w:color="FFFFFF" w:sz="12" w:space="0"/>
              <w:right w:val="single" w:color="FFFFFF" w:sz="12" w:space="0"/>
            </w:tcBorders>
            <w:shd w:val="clear" w:color="auto" w:fill="F6F6F6"/>
            <w:tcMar>
              <w:top w:w="225" w:type="dxa"/>
              <w:left w:w="120" w:type="dxa"/>
              <w:bottom w:w="75" w:type="dxa"/>
              <w:right w:w="120" w:type="dxa"/>
            </w:tcMar>
          </w:tcPr>
          <w:p>
            <w:pPr>
              <w:widowControl/>
              <w:jc w:val="left"/>
              <w:rPr>
                <w:rFonts w:ascii="Arial" w:hAnsi="Arial" w:cs="Arial"/>
                <w:color w:val="545454"/>
                <w:kern w:val="0"/>
                <w:sz w:val="18"/>
                <w:szCs w:val="18"/>
              </w:rPr>
            </w:pPr>
            <w:r>
              <w:rPr>
                <w:rFonts w:ascii="Arial" w:hAnsi="Arial" w:cs="Arial"/>
                <w:color w:val="545454"/>
                <w:kern w:val="0"/>
                <w:sz w:val="18"/>
                <w:szCs w:val="18"/>
              </w:rPr>
              <w:t>Courses</w:t>
            </w:r>
          </w:p>
        </w:tc>
        <w:tc>
          <w:tcPr>
            <w:tcW w:w="2268" w:type="dxa"/>
            <w:tcBorders>
              <w:top w:val="single" w:color="FFFFFF" w:sz="12" w:space="0"/>
              <w:left w:val="single" w:color="FFFFFF" w:sz="12" w:space="0"/>
              <w:bottom w:val="single" w:color="FFFFFF" w:sz="12" w:space="0"/>
              <w:right w:val="single" w:color="FFFFFF" w:sz="12" w:space="0"/>
            </w:tcBorders>
            <w:shd w:val="clear" w:color="auto" w:fill="F6F6F6"/>
            <w:tcMar>
              <w:top w:w="75" w:type="dxa"/>
              <w:left w:w="120" w:type="dxa"/>
              <w:bottom w:w="75" w:type="dxa"/>
              <w:right w:w="120" w:type="dxa"/>
            </w:tcMar>
          </w:tcPr>
          <w:p>
            <w:pPr>
              <w:widowControl/>
              <w:numPr>
                <w:ilvl w:val="0"/>
                <w:numId w:val="5"/>
              </w:numPr>
              <w:spacing w:after="75"/>
              <w:ind w:left="225"/>
              <w:jc w:val="left"/>
              <w:rPr>
                <w:rFonts w:ascii="Arial" w:hAnsi="Arial" w:cs="Arial"/>
                <w:color w:val="545454"/>
                <w:kern w:val="0"/>
                <w:sz w:val="18"/>
                <w:szCs w:val="18"/>
              </w:rPr>
            </w:pPr>
            <w:r>
              <w:rPr>
                <w:rFonts w:ascii="Arial" w:hAnsi="Arial" w:cs="Arial"/>
                <w:color w:val="545454"/>
                <w:kern w:val="0"/>
                <w:sz w:val="18"/>
                <w:szCs w:val="18"/>
              </w:rPr>
              <w:t>Advising seminar (3*)</w:t>
            </w:r>
          </w:p>
          <w:p>
            <w:pPr>
              <w:widowControl/>
              <w:numPr>
                <w:ilvl w:val="0"/>
                <w:numId w:val="5"/>
              </w:numPr>
              <w:spacing w:after="75"/>
              <w:ind w:left="225"/>
              <w:jc w:val="left"/>
              <w:rPr>
                <w:rFonts w:ascii="Arial" w:hAnsi="Arial" w:cs="Arial"/>
                <w:color w:val="545454"/>
                <w:kern w:val="0"/>
                <w:sz w:val="18"/>
                <w:szCs w:val="18"/>
              </w:rPr>
            </w:pPr>
            <w:r>
              <w:rPr>
                <w:rFonts w:ascii="Arial" w:hAnsi="Arial" w:cs="Arial"/>
                <w:color w:val="545454"/>
                <w:kern w:val="0"/>
                <w:sz w:val="18"/>
                <w:szCs w:val="18"/>
              </w:rPr>
              <w:t>Applied Academic Skills (5*)</w:t>
            </w:r>
          </w:p>
          <w:p>
            <w:pPr>
              <w:widowControl/>
              <w:numPr>
                <w:ilvl w:val="0"/>
                <w:numId w:val="5"/>
              </w:numPr>
              <w:spacing w:after="75"/>
              <w:ind w:left="225"/>
              <w:jc w:val="left"/>
              <w:rPr>
                <w:rFonts w:ascii="Arial" w:hAnsi="Arial" w:cs="Arial"/>
                <w:color w:val="545454"/>
                <w:kern w:val="0"/>
                <w:sz w:val="18"/>
                <w:szCs w:val="18"/>
              </w:rPr>
            </w:pPr>
            <w:r>
              <w:rPr>
                <w:rFonts w:ascii="Arial" w:hAnsi="Arial" w:cs="Arial"/>
                <w:color w:val="545454"/>
                <w:kern w:val="0"/>
                <w:sz w:val="18"/>
                <w:szCs w:val="18"/>
              </w:rPr>
              <w:t>Academic Reading &amp; Writing 5 (10*)</w:t>
            </w:r>
          </w:p>
          <w:p>
            <w:pPr>
              <w:widowControl/>
              <w:numPr>
                <w:ilvl w:val="0"/>
                <w:numId w:val="5"/>
              </w:numPr>
              <w:spacing w:after="75"/>
              <w:ind w:left="225"/>
              <w:jc w:val="left"/>
              <w:rPr>
                <w:rFonts w:ascii="Arial" w:hAnsi="Arial" w:cs="Arial"/>
                <w:color w:val="545454"/>
                <w:kern w:val="0"/>
                <w:sz w:val="18"/>
                <w:szCs w:val="18"/>
              </w:rPr>
            </w:pPr>
            <w:r>
              <w:rPr>
                <w:rFonts w:ascii="Arial" w:hAnsi="Arial" w:cs="Arial"/>
                <w:color w:val="545454"/>
                <w:kern w:val="0"/>
                <w:sz w:val="18"/>
                <w:szCs w:val="18"/>
              </w:rPr>
              <w:t>Intensive English elective course (5*)</w:t>
            </w:r>
          </w:p>
        </w:tc>
        <w:tc>
          <w:tcPr>
            <w:tcW w:w="2268" w:type="dxa"/>
            <w:tcBorders>
              <w:top w:val="single" w:color="FFFFFF" w:sz="12" w:space="0"/>
              <w:left w:val="single" w:color="FFFFFF" w:sz="12" w:space="0"/>
              <w:bottom w:val="single" w:color="FFFFFF" w:sz="12" w:space="0"/>
              <w:right w:val="single" w:color="FFFFFF" w:sz="12" w:space="0"/>
            </w:tcBorders>
            <w:shd w:val="clear" w:color="auto" w:fill="F6F6F6"/>
            <w:tcMar>
              <w:top w:w="75" w:type="dxa"/>
              <w:left w:w="120" w:type="dxa"/>
              <w:bottom w:w="75" w:type="dxa"/>
              <w:right w:w="120" w:type="dxa"/>
            </w:tcMar>
          </w:tcPr>
          <w:p>
            <w:pPr>
              <w:widowControl/>
              <w:numPr>
                <w:ilvl w:val="0"/>
                <w:numId w:val="6"/>
              </w:numPr>
              <w:spacing w:after="75"/>
              <w:ind w:left="225"/>
              <w:jc w:val="left"/>
              <w:rPr>
                <w:rFonts w:ascii="Arial" w:hAnsi="Arial" w:cs="Arial"/>
                <w:color w:val="545454"/>
                <w:kern w:val="0"/>
                <w:sz w:val="18"/>
                <w:szCs w:val="18"/>
              </w:rPr>
            </w:pPr>
            <w:r>
              <w:rPr>
                <w:rFonts w:ascii="Arial" w:hAnsi="Arial" w:cs="Arial"/>
                <w:color w:val="545454"/>
                <w:kern w:val="0"/>
                <w:sz w:val="18"/>
                <w:szCs w:val="18"/>
              </w:rPr>
              <w:t>Advising seminar (3*)</w:t>
            </w:r>
          </w:p>
          <w:p>
            <w:pPr>
              <w:widowControl/>
              <w:numPr>
                <w:ilvl w:val="0"/>
                <w:numId w:val="6"/>
              </w:numPr>
              <w:spacing w:after="75"/>
              <w:ind w:left="225"/>
              <w:jc w:val="left"/>
              <w:rPr>
                <w:rFonts w:ascii="Arial" w:hAnsi="Arial" w:cs="Arial"/>
                <w:color w:val="545454"/>
                <w:kern w:val="0"/>
                <w:sz w:val="18"/>
                <w:szCs w:val="18"/>
              </w:rPr>
            </w:pPr>
            <w:r>
              <w:rPr>
                <w:rFonts w:ascii="Arial" w:hAnsi="Arial" w:cs="Arial"/>
                <w:color w:val="545454"/>
                <w:kern w:val="0"/>
                <w:sz w:val="18"/>
                <w:szCs w:val="18"/>
              </w:rPr>
              <w:t>International studies course (5)</w:t>
            </w:r>
          </w:p>
          <w:p>
            <w:pPr>
              <w:widowControl/>
              <w:numPr>
                <w:ilvl w:val="0"/>
                <w:numId w:val="6"/>
              </w:numPr>
              <w:spacing w:after="75"/>
              <w:ind w:left="225"/>
              <w:jc w:val="left"/>
              <w:rPr>
                <w:rFonts w:ascii="Arial" w:hAnsi="Arial" w:cs="Arial"/>
                <w:color w:val="545454"/>
                <w:kern w:val="0"/>
                <w:sz w:val="18"/>
                <w:szCs w:val="18"/>
              </w:rPr>
            </w:pPr>
            <w:r>
              <w:rPr>
                <w:rFonts w:ascii="Arial" w:hAnsi="Arial" w:cs="Arial"/>
                <w:color w:val="545454"/>
                <w:kern w:val="0"/>
                <w:sz w:val="18"/>
                <w:szCs w:val="18"/>
              </w:rPr>
              <w:t>Academic English Program (5)</w:t>
            </w:r>
          </w:p>
          <w:p>
            <w:pPr>
              <w:widowControl/>
              <w:numPr>
                <w:ilvl w:val="0"/>
                <w:numId w:val="6"/>
              </w:numPr>
              <w:spacing w:after="75"/>
              <w:ind w:left="225"/>
              <w:jc w:val="left"/>
              <w:rPr>
                <w:rFonts w:ascii="Arial" w:hAnsi="Arial" w:cs="Arial"/>
                <w:color w:val="545454"/>
                <w:kern w:val="0"/>
                <w:sz w:val="18"/>
                <w:szCs w:val="18"/>
              </w:rPr>
            </w:pPr>
            <w:r>
              <w:rPr>
                <w:rFonts w:ascii="Arial" w:hAnsi="Arial" w:cs="Arial"/>
                <w:color w:val="545454"/>
                <w:kern w:val="0"/>
                <w:sz w:val="18"/>
                <w:szCs w:val="18"/>
              </w:rPr>
              <w:t>Academic English Program or UW elective (5) (depending on TOEFL sub-scores)</w:t>
            </w:r>
          </w:p>
        </w:tc>
        <w:tc>
          <w:tcPr>
            <w:tcW w:w="2551" w:type="dxa"/>
            <w:tcBorders>
              <w:top w:val="single" w:color="FFFFFF" w:sz="12" w:space="0"/>
              <w:left w:val="single" w:color="FFFFFF" w:sz="12" w:space="0"/>
              <w:bottom w:val="single" w:color="FFFFFF" w:sz="12" w:space="0"/>
              <w:right w:val="single" w:color="FFFFFF" w:sz="12" w:space="0"/>
            </w:tcBorders>
            <w:shd w:val="clear" w:color="auto" w:fill="F6F6F6"/>
            <w:tcMar>
              <w:top w:w="75" w:type="dxa"/>
              <w:left w:w="120" w:type="dxa"/>
              <w:bottom w:w="75" w:type="dxa"/>
              <w:right w:w="120" w:type="dxa"/>
            </w:tcMar>
          </w:tcPr>
          <w:p>
            <w:pPr>
              <w:widowControl/>
              <w:numPr>
                <w:ilvl w:val="0"/>
                <w:numId w:val="7"/>
              </w:numPr>
              <w:spacing w:after="75"/>
              <w:ind w:left="225"/>
              <w:jc w:val="left"/>
              <w:rPr>
                <w:rFonts w:ascii="Arial" w:hAnsi="Arial" w:cs="Arial"/>
                <w:color w:val="545454"/>
                <w:kern w:val="0"/>
                <w:sz w:val="18"/>
                <w:szCs w:val="18"/>
              </w:rPr>
            </w:pPr>
            <w:r>
              <w:rPr>
                <w:rFonts w:ascii="Arial" w:hAnsi="Arial" w:cs="Arial"/>
                <w:color w:val="545454"/>
                <w:kern w:val="0"/>
                <w:sz w:val="18"/>
                <w:szCs w:val="18"/>
              </w:rPr>
              <w:t>Advising seminar (3*)</w:t>
            </w:r>
          </w:p>
          <w:p>
            <w:pPr>
              <w:widowControl/>
              <w:numPr>
                <w:ilvl w:val="0"/>
                <w:numId w:val="7"/>
              </w:numPr>
              <w:spacing w:after="75"/>
              <w:ind w:left="225"/>
              <w:jc w:val="left"/>
              <w:rPr>
                <w:rFonts w:ascii="Arial" w:hAnsi="Arial" w:cs="Arial"/>
                <w:color w:val="545454"/>
                <w:kern w:val="0"/>
                <w:sz w:val="18"/>
                <w:szCs w:val="18"/>
              </w:rPr>
            </w:pPr>
            <w:r>
              <w:rPr>
                <w:rFonts w:ascii="Arial" w:hAnsi="Arial" w:cs="Arial"/>
                <w:color w:val="545454"/>
                <w:kern w:val="0"/>
                <w:sz w:val="18"/>
                <w:szCs w:val="18"/>
              </w:rPr>
              <w:t>International studies course (5)</w:t>
            </w:r>
          </w:p>
          <w:p>
            <w:pPr>
              <w:widowControl/>
              <w:numPr>
                <w:ilvl w:val="0"/>
                <w:numId w:val="7"/>
              </w:numPr>
              <w:spacing w:after="75"/>
              <w:ind w:left="225"/>
              <w:jc w:val="left"/>
              <w:rPr>
                <w:rFonts w:ascii="Arial" w:hAnsi="Arial" w:cs="Arial"/>
                <w:color w:val="545454"/>
                <w:kern w:val="0"/>
                <w:sz w:val="18"/>
                <w:szCs w:val="18"/>
              </w:rPr>
            </w:pPr>
            <w:r>
              <w:rPr>
                <w:rFonts w:ascii="Arial" w:hAnsi="Arial" w:cs="Arial"/>
                <w:color w:val="545454"/>
                <w:kern w:val="0"/>
                <w:sz w:val="18"/>
                <w:szCs w:val="18"/>
              </w:rPr>
              <w:t>UW elective (5)</w:t>
            </w:r>
          </w:p>
          <w:p>
            <w:pPr>
              <w:widowControl/>
              <w:numPr>
                <w:ilvl w:val="0"/>
                <w:numId w:val="7"/>
              </w:numPr>
              <w:spacing w:after="75"/>
              <w:ind w:left="225"/>
              <w:jc w:val="left"/>
              <w:rPr>
                <w:rFonts w:ascii="Arial" w:hAnsi="Arial" w:cs="Arial"/>
                <w:color w:val="545454"/>
                <w:kern w:val="0"/>
                <w:sz w:val="18"/>
                <w:szCs w:val="18"/>
              </w:rPr>
            </w:pPr>
            <w:r>
              <w:rPr>
                <w:rFonts w:ascii="Arial" w:hAnsi="Arial" w:cs="Arial"/>
                <w:color w:val="545454"/>
                <w:kern w:val="0"/>
                <w:sz w:val="18"/>
                <w:szCs w:val="18"/>
              </w:rPr>
              <w:t>UW </w:t>
            </w:r>
          </w:p>
        </w:tc>
      </w:tr>
    </w:tbl>
    <w:p>
      <w:pPr>
        <w:rPr>
          <w:rFonts w:ascii="Arial Narrow" w:hAnsi="Arial Narrow"/>
          <w:b/>
          <w:sz w:val="22"/>
        </w:rPr>
      </w:pPr>
    </w:p>
    <w:p>
      <w:pPr>
        <w:numPr>
          <w:ilvl w:val="0"/>
          <w:numId w:val="1"/>
        </w:numPr>
        <w:rPr>
          <w:rFonts w:ascii="Arial Narrow" w:hAnsi="Arial Narrow"/>
          <w:b/>
          <w:sz w:val="22"/>
        </w:rPr>
      </w:pPr>
      <w:r>
        <w:rPr>
          <w:rFonts w:hint="eastAsia" w:ascii="Arial Narrow"/>
          <w:b/>
          <w:sz w:val="22"/>
        </w:rPr>
        <w:t>项目费用</w:t>
      </w:r>
    </w:p>
    <w:p>
      <w:pPr>
        <w:rPr>
          <w:rFonts w:ascii="Arial Narrow" w:hAnsi="Arial Narrow"/>
          <w:b/>
          <w:sz w:val="22"/>
        </w:rPr>
      </w:pPr>
    </w:p>
    <w:p>
      <w:pPr>
        <w:pStyle w:val="12"/>
        <w:numPr>
          <w:ilvl w:val="0"/>
          <w:numId w:val="8"/>
        </w:numPr>
        <w:jc w:val="both"/>
        <w:rPr>
          <w:rFonts w:ascii="Arial Narrow" w:hAnsi="Arial Narrow" w:cs="宋体"/>
          <w:sz w:val="22"/>
        </w:rPr>
      </w:pPr>
      <w:r>
        <w:rPr>
          <w:rFonts w:hint="eastAsia" w:ascii="Arial Narrow" w:hAnsi="Arial Narrow" w:cs="宋体"/>
          <w:sz w:val="22"/>
        </w:rPr>
        <w:t>申请费：$50，学费：$7995/Quarter</w:t>
      </w:r>
      <w:r>
        <w:rPr>
          <w:rFonts w:ascii="Arial Narrow" w:hAnsi="Arial Narrow" w:cs="宋体"/>
          <w:sz w:val="22"/>
        </w:rPr>
        <w:t>、参考住宿费</w:t>
      </w:r>
      <w:r>
        <w:rPr>
          <w:rFonts w:hint="eastAsia" w:ascii="Arial Narrow" w:hAnsi="Arial Narrow" w:cs="宋体"/>
          <w:sz w:val="22"/>
        </w:rPr>
        <w:t>：$2249（校内双人间标准）/Quarter</w:t>
      </w:r>
      <w:r>
        <w:rPr>
          <w:rFonts w:ascii="Arial Narrow" w:hAnsi="Arial Narrow" w:cs="宋体"/>
          <w:sz w:val="22"/>
        </w:rPr>
        <w:t>、保险费</w:t>
      </w:r>
      <w:r>
        <w:rPr>
          <w:rFonts w:hint="eastAsia" w:ascii="Arial Narrow" w:hAnsi="Arial Narrow" w:cs="宋体"/>
          <w:sz w:val="22"/>
        </w:rPr>
        <w:t>(ISHIP): $385/Quarter，录取文件快递费：$40；</w:t>
      </w:r>
    </w:p>
    <w:p>
      <w:pPr>
        <w:pStyle w:val="10"/>
        <w:numPr>
          <w:ilvl w:val="0"/>
          <w:numId w:val="8"/>
        </w:numPr>
        <w:ind w:firstLineChars="0"/>
        <w:rPr>
          <w:rFonts w:ascii="Arial Narrow" w:hAnsi="Arial Narrow"/>
          <w:szCs w:val="21"/>
        </w:rPr>
      </w:pPr>
      <w:r>
        <w:rPr>
          <w:rFonts w:ascii="Arial Narrow" w:hAnsi="Arial Narrow"/>
          <w:sz w:val="22"/>
        </w:rPr>
        <w:t>项目管理费</w:t>
      </w:r>
      <w:r>
        <w:rPr>
          <w:rFonts w:hint="eastAsia" w:ascii="Arial Narrow" w:hAnsi="Arial Narrow"/>
          <w:sz w:val="22"/>
        </w:rPr>
        <w:t>$1500，</w:t>
      </w:r>
      <w:r>
        <w:rPr>
          <w:rFonts w:ascii="Arial Narrow" w:hAnsi="Arial Narrow"/>
          <w:sz w:val="22"/>
        </w:rPr>
        <w:t>包括：</w:t>
      </w:r>
      <w:r>
        <w:rPr>
          <w:rFonts w:ascii="Arial Narrow" w:hAnsi="Arial Narrow"/>
          <w:szCs w:val="21"/>
        </w:rPr>
        <w:t>项目咨询、项目申请、住宿安排、旅行和应急保险购买、签证指导、行前指导、赴美地面交通安排服务等</w:t>
      </w:r>
      <w:r>
        <w:rPr>
          <w:rFonts w:hint="eastAsia" w:ascii="Arial Narrow" w:hAnsi="Arial Narrow"/>
          <w:szCs w:val="21"/>
        </w:rPr>
        <w:t>；</w:t>
      </w:r>
    </w:p>
    <w:p>
      <w:pPr>
        <w:pStyle w:val="10"/>
        <w:numPr>
          <w:ilvl w:val="0"/>
          <w:numId w:val="8"/>
        </w:numPr>
        <w:ind w:firstLineChars="0"/>
        <w:rPr>
          <w:rFonts w:ascii="Arial Narrow" w:hAnsi="Arial Narrow"/>
          <w:szCs w:val="21"/>
        </w:rPr>
      </w:pPr>
      <w:r>
        <w:rPr>
          <w:rFonts w:ascii="Arial Narrow" w:hAnsi="Arial Narrow"/>
          <w:szCs w:val="21"/>
        </w:rPr>
        <w:t>若实际修读学分超过最低选修学分数，则多出的学分部分按照学校的学费标准补缴学费；</w:t>
      </w:r>
    </w:p>
    <w:p>
      <w:pPr>
        <w:pStyle w:val="10"/>
        <w:numPr>
          <w:ilvl w:val="0"/>
          <w:numId w:val="8"/>
        </w:numPr>
        <w:ind w:firstLineChars="0"/>
        <w:rPr>
          <w:rFonts w:ascii="Arial Narrow" w:hAnsi="Arial Narrow"/>
          <w:szCs w:val="21"/>
        </w:rPr>
      </w:pPr>
      <w:r>
        <w:rPr>
          <w:rFonts w:ascii="Arial Narrow" w:hAnsi="Arial Narrow" w:cs="宋体"/>
          <w:szCs w:val="21"/>
        </w:rPr>
        <w:t>以上费用是201</w:t>
      </w:r>
      <w:r>
        <w:rPr>
          <w:rFonts w:hint="eastAsia" w:ascii="Arial Narrow" w:hAnsi="Arial Narrow" w:cs="宋体"/>
          <w:szCs w:val="21"/>
        </w:rPr>
        <w:t>9</w:t>
      </w:r>
      <w:r>
        <w:rPr>
          <w:rFonts w:ascii="Arial Narrow" w:hAnsi="Arial Narrow" w:cs="宋体"/>
          <w:szCs w:val="21"/>
        </w:rPr>
        <w:t>年秋季</w:t>
      </w:r>
      <w:r>
        <w:rPr>
          <w:rFonts w:hint="eastAsia" w:ascii="Arial Narrow" w:hAnsi="Arial Narrow" w:cs="宋体"/>
          <w:szCs w:val="21"/>
        </w:rPr>
        <w:t>实际</w:t>
      </w:r>
      <w:r>
        <w:rPr>
          <w:rFonts w:ascii="Arial Narrow" w:hAnsi="Arial Narrow" w:cs="宋体"/>
          <w:szCs w:val="21"/>
        </w:rPr>
        <w:t>发生的费用， 20</w:t>
      </w:r>
      <w:r>
        <w:rPr>
          <w:rFonts w:hint="eastAsia" w:ascii="Arial Narrow" w:hAnsi="Arial Narrow" w:cs="宋体"/>
          <w:szCs w:val="21"/>
        </w:rPr>
        <w:t>20</w:t>
      </w:r>
      <w:r>
        <w:rPr>
          <w:rFonts w:ascii="Arial Narrow" w:hAnsi="Arial Narrow" w:cs="宋体"/>
          <w:szCs w:val="21"/>
        </w:rPr>
        <w:t>年项目费用将于海外大学发布费用信息之后进行更新；</w:t>
      </w:r>
    </w:p>
    <w:p>
      <w:pPr>
        <w:pStyle w:val="10"/>
        <w:numPr>
          <w:ilvl w:val="0"/>
          <w:numId w:val="8"/>
        </w:numPr>
        <w:ind w:firstLineChars="0"/>
        <w:rPr>
          <w:rFonts w:ascii="Arial Narrow" w:hAnsi="Arial Narrow"/>
          <w:sz w:val="22"/>
        </w:rPr>
      </w:pPr>
      <w:r>
        <w:rPr>
          <w:rFonts w:ascii="Arial Narrow" w:hAnsi="Arial Narrow" w:cs="宋体"/>
          <w:szCs w:val="21"/>
        </w:rPr>
        <w:t>项目费用不包括：签证费用、个人生活费用及国际机票费用。</w:t>
      </w:r>
    </w:p>
    <w:p>
      <w:pPr>
        <w:spacing w:line="360" w:lineRule="auto"/>
        <w:rPr>
          <w:rFonts w:cs="Calibri" w:asciiTheme="minorEastAsia" w:hAnsiTheme="minorEastAsia" w:eastAsiaTheme="minorEastAsia"/>
          <w:szCs w:val="21"/>
        </w:rPr>
      </w:pPr>
    </w:p>
    <w:p>
      <w:pPr>
        <w:spacing w:line="360" w:lineRule="auto"/>
        <w:rPr>
          <w:rFonts w:cs="Calibri" w:asciiTheme="minorEastAsia" w:hAnsiTheme="minorEastAsia" w:eastAsiaTheme="minorEastAsia"/>
        </w:rPr>
      </w:pPr>
      <w:r>
        <w:rPr>
          <w:rFonts w:cs="Calibri" w:asciiTheme="minorEastAsia" w:hAnsiTheme="minorEastAsia" w:eastAsiaTheme="minorEastAsia"/>
          <w:szCs w:val="21"/>
        </w:rPr>
        <w:t>【</w:t>
      </w:r>
      <w:r>
        <w:rPr>
          <w:rFonts w:hint="eastAsia" w:cs="Calibri" w:asciiTheme="minorEastAsia" w:hAnsiTheme="minorEastAsia" w:eastAsiaTheme="minorEastAsia"/>
          <w:b/>
          <w:szCs w:val="21"/>
        </w:rPr>
        <w:t>项目证书</w:t>
      </w:r>
      <w:r>
        <w:rPr>
          <w:rFonts w:cs="Calibri" w:asciiTheme="minorEastAsia" w:hAnsiTheme="minorEastAsia" w:eastAsiaTheme="minorEastAsia"/>
          <w:szCs w:val="21"/>
        </w:rPr>
        <w:t>】</w:t>
      </w:r>
    </w:p>
    <w:p>
      <w:pPr>
        <w:rPr>
          <w:rFonts w:ascii="Arial Narrow" w:hAnsi="Arial Narrow"/>
          <w:b/>
          <w:sz w:val="22"/>
        </w:rPr>
      </w:pPr>
    </w:p>
    <w:p>
      <w:pPr>
        <w:spacing w:line="360" w:lineRule="auto"/>
        <w:ind w:firstLine="420" w:firstLineChars="200"/>
        <w:rPr>
          <w:rFonts w:cs="Calibri" w:asciiTheme="minorEastAsia" w:hAnsiTheme="minorEastAsia" w:eastAsiaTheme="minorEastAsia"/>
        </w:rPr>
      </w:pPr>
      <w:r>
        <w:rPr>
          <w:rFonts w:hint="eastAsia" w:asciiTheme="minorEastAsia" w:hAnsiTheme="minorEastAsia" w:eastAsiaTheme="minorEastAsia" w:cstheme="minorHAnsi"/>
          <w:szCs w:val="21"/>
        </w:rPr>
        <w:t>顺利完成所有课程，并通过学术考核的学生，将获得华盛顿大学出具的正式成绩单。</w:t>
      </w:r>
    </w:p>
    <w:p>
      <w:pPr>
        <w:rPr>
          <w:rFonts w:ascii="Arial Narrow" w:hAnsi="Arial Narrow"/>
          <w:sz w:val="22"/>
        </w:rPr>
      </w:pPr>
    </w:p>
    <w:p>
      <w:pPr>
        <w:rPr>
          <w:rFonts w:ascii="Arial Narrow" w:hAnsi="Arial Narrow"/>
          <w:sz w:val="22"/>
        </w:rPr>
      </w:pPr>
      <w:r>
        <w:rPr>
          <w:rFonts w:ascii="Arial Narrow" w:hAnsi="Arial Narrow"/>
          <w:sz w:val="22"/>
        </w:rPr>
        <w:drawing>
          <wp:inline distT="0" distB="0" distL="0" distR="0">
            <wp:extent cx="5274310" cy="3686810"/>
            <wp:effectExtent l="19050" t="19050" r="21590" b="27617"/>
            <wp:docPr id="1" name="图片 1" descr="华大成绩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大成绩单.png"/>
                    <pic:cNvPicPr>
                      <a:picLocks noChangeAspect="1"/>
                    </pic:cNvPicPr>
                  </pic:nvPicPr>
                  <pic:blipFill>
                    <a:blip r:embed="rId10" cstate="print"/>
                    <a:stretch>
                      <a:fillRect/>
                    </a:stretch>
                  </pic:blipFill>
                  <pic:spPr>
                    <a:xfrm>
                      <a:off x="0" y="0"/>
                      <a:ext cx="5274310" cy="3687133"/>
                    </a:xfrm>
                    <a:prstGeom prst="rect">
                      <a:avLst/>
                    </a:prstGeom>
                    <a:ln>
                      <a:solidFill>
                        <a:schemeClr val="accent1"/>
                      </a:solidFill>
                    </a:ln>
                  </pic:spPr>
                </pic:pic>
              </a:graphicData>
            </a:graphic>
          </wp:inline>
        </w:drawing>
      </w:r>
    </w:p>
    <w:p>
      <w:pPr>
        <w:rPr>
          <w:rFonts w:ascii="Arial Narrow" w:hAnsi="Arial Narrow"/>
          <w:sz w:val="22"/>
        </w:rPr>
      </w:pPr>
    </w:p>
    <w:p>
      <w:pPr>
        <w:widowControl/>
        <w:spacing w:line="360" w:lineRule="auto"/>
        <w:ind w:firstLine="420" w:firstLineChars="200"/>
        <w:jc w:val="center"/>
        <w:rPr>
          <w:rFonts w:cs="Calibri" w:asciiTheme="minorEastAsia" w:hAnsiTheme="minorEastAsia" w:eastAsiaTheme="minorEastAsia"/>
          <w:szCs w:val="21"/>
        </w:rPr>
      </w:pPr>
      <w:r>
        <w:rPr>
          <w:rFonts w:hint="eastAsia" w:cs="Calibri" w:asciiTheme="minorEastAsia" w:hAnsiTheme="minorEastAsia" w:eastAsiaTheme="minorEastAsia"/>
          <w:szCs w:val="21"/>
        </w:rPr>
        <w:t>图：华盛顿大学学分课程成绩单</w:t>
      </w:r>
    </w:p>
    <w:p>
      <w:pPr>
        <w:rPr>
          <w:rFonts w:ascii="Arial Narrow" w:hAnsi="Arial Narrow"/>
          <w:sz w:val="2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42D"/>
    <w:multiLevelType w:val="multilevel"/>
    <w:tmpl w:val="04FE44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0C87B1C"/>
    <w:multiLevelType w:val="multilevel"/>
    <w:tmpl w:val="10C87B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982F95"/>
    <w:multiLevelType w:val="multilevel"/>
    <w:tmpl w:val="15982F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D6566A5"/>
    <w:multiLevelType w:val="multilevel"/>
    <w:tmpl w:val="1D6566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EBC5A28"/>
    <w:multiLevelType w:val="multilevel"/>
    <w:tmpl w:val="1EBC5A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41169AD"/>
    <w:multiLevelType w:val="multilevel"/>
    <w:tmpl w:val="241169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53581685"/>
    <w:multiLevelType w:val="multilevel"/>
    <w:tmpl w:val="53581685"/>
    <w:lvl w:ilvl="0" w:tentative="0">
      <w:start w:val="1"/>
      <w:numFmt w:val="chineseCountingThousand"/>
      <w:lvlText w:val="%1、"/>
      <w:lvlJc w:val="left"/>
      <w:pPr>
        <w:ind w:left="420" w:hanging="420"/>
      </w:pPr>
    </w:lvl>
    <w:lvl w:ilvl="1" w:tentative="0">
      <w:start w:val="1"/>
      <w:numFmt w:val="japaneseCounting"/>
      <w:lvlText w:val="%2．"/>
      <w:lvlJc w:val="left"/>
      <w:pPr>
        <w:ind w:left="900" w:hanging="480"/>
      </w:pPr>
      <w:rPr>
        <w:rFonts w:hint="default" w:hAnsi="Calibr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DFA6A84"/>
    <w:multiLevelType w:val="multilevel"/>
    <w:tmpl w:val="6DFA6A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6"/>
  </w:num>
  <w:num w:numId="2">
    <w:abstractNumId w:val="3"/>
  </w:num>
  <w:num w:numId="3">
    <w:abstractNumId w:val="4"/>
  </w:num>
  <w:num w:numId="4">
    <w:abstractNumId w:val="2"/>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61FB"/>
    <w:rsid w:val="00036A81"/>
    <w:rsid w:val="00093B45"/>
    <w:rsid w:val="000F3738"/>
    <w:rsid w:val="00130A99"/>
    <w:rsid w:val="001526BE"/>
    <w:rsid w:val="00152A65"/>
    <w:rsid w:val="0016729C"/>
    <w:rsid w:val="0017727F"/>
    <w:rsid w:val="001B2F58"/>
    <w:rsid w:val="001B7970"/>
    <w:rsid w:val="001F1AAE"/>
    <w:rsid w:val="0020021B"/>
    <w:rsid w:val="002160E0"/>
    <w:rsid w:val="002661FB"/>
    <w:rsid w:val="002D6DDC"/>
    <w:rsid w:val="002E55DC"/>
    <w:rsid w:val="002E607B"/>
    <w:rsid w:val="002E670D"/>
    <w:rsid w:val="002F7A89"/>
    <w:rsid w:val="00326874"/>
    <w:rsid w:val="0035319F"/>
    <w:rsid w:val="00353E2E"/>
    <w:rsid w:val="00365345"/>
    <w:rsid w:val="00371098"/>
    <w:rsid w:val="00396469"/>
    <w:rsid w:val="003A3905"/>
    <w:rsid w:val="003B61D1"/>
    <w:rsid w:val="003F15F6"/>
    <w:rsid w:val="00415AD4"/>
    <w:rsid w:val="0043531E"/>
    <w:rsid w:val="00441372"/>
    <w:rsid w:val="00451861"/>
    <w:rsid w:val="00464649"/>
    <w:rsid w:val="00481921"/>
    <w:rsid w:val="00496047"/>
    <w:rsid w:val="004B43D4"/>
    <w:rsid w:val="004D1B0F"/>
    <w:rsid w:val="00521603"/>
    <w:rsid w:val="00521745"/>
    <w:rsid w:val="005932A3"/>
    <w:rsid w:val="005B435C"/>
    <w:rsid w:val="005B5F87"/>
    <w:rsid w:val="005E50A7"/>
    <w:rsid w:val="005E534C"/>
    <w:rsid w:val="005F740D"/>
    <w:rsid w:val="00663E9F"/>
    <w:rsid w:val="006643D1"/>
    <w:rsid w:val="007065C0"/>
    <w:rsid w:val="00721165"/>
    <w:rsid w:val="007236BE"/>
    <w:rsid w:val="0076554F"/>
    <w:rsid w:val="00766542"/>
    <w:rsid w:val="007C33F6"/>
    <w:rsid w:val="007D05F3"/>
    <w:rsid w:val="00841E42"/>
    <w:rsid w:val="00864382"/>
    <w:rsid w:val="008759A2"/>
    <w:rsid w:val="008774FA"/>
    <w:rsid w:val="00892178"/>
    <w:rsid w:val="008A378B"/>
    <w:rsid w:val="008D7689"/>
    <w:rsid w:val="00922C2F"/>
    <w:rsid w:val="00936327"/>
    <w:rsid w:val="00986FEA"/>
    <w:rsid w:val="009A193E"/>
    <w:rsid w:val="009C651F"/>
    <w:rsid w:val="00A22F80"/>
    <w:rsid w:val="00A233F6"/>
    <w:rsid w:val="00A2578A"/>
    <w:rsid w:val="00A5682E"/>
    <w:rsid w:val="00A724EA"/>
    <w:rsid w:val="00AE065C"/>
    <w:rsid w:val="00B202C3"/>
    <w:rsid w:val="00B65536"/>
    <w:rsid w:val="00B70E5F"/>
    <w:rsid w:val="00B81CA1"/>
    <w:rsid w:val="00BA09CB"/>
    <w:rsid w:val="00BC680C"/>
    <w:rsid w:val="00C35693"/>
    <w:rsid w:val="00C7086B"/>
    <w:rsid w:val="00C848B9"/>
    <w:rsid w:val="00CF17D0"/>
    <w:rsid w:val="00D613F5"/>
    <w:rsid w:val="00D6554F"/>
    <w:rsid w:val="00D70547"/>
    <w:rsid w:val="00D827EE"/>
    <w:rsid w:val="00D93D3B"/>
    <w:rsid w:val="00DA2FC9"/>
    <w:rsid w:val="00DA6B92"/>
    <w:rsid w:val="00DD4111"/>
    <w:rsid w:val="00E12D19"/>
    <w:rsid w:val="00E316FA"/>
    <w:rsid w:val="00E34BFE"/>
    <w:rsid w:val="00EF7382"/>
    <w:rsid w:val="00F12B14"/>
    <w:rsid w:val="00F24BAD"/>
    <w:rsid w:val="00F307AD"/>
    <w:rsid w:val="00F84F72"/>
    <w:rsid w:val="00FD050A"/>
    <w:rsid w:val="00FD1A13"/>
    <w:rsid w:val="00FF77CD"/>
    <w:rsid w:val="3F770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rFonts w:ascii="Calibri" w:hAnsi="Calibri" w:eastAsia="宋体" w:cs="Times New Roman"/>
      <w:sz w:val="18"/>
      <w:szCs w:val="18"/>
    </w:rPr>
  </w:style>
  <w:style w:type="paragraph" w:customStyle="1" w:styleId="12">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41D55-4230-496B-9F24-00A00F20428A}">
  <ds:schemaRefs/>
</ds:datastoreItem>
</file>

<file path=docProps/app.xml><?xml version="1.0" encoding="utf-8"?>
<Properties xmlns="http://schemas.openxmlformats.org/officeDocument/2006/extended-properties" xmlns:vt="http://schemas.openxmlformats.org/officeDocument/2006/docPropsVTypes">
  <Template>Normal</Template>
  <Pages>1</Pages>
  <Words>370</Words>
  <Characters>2114</Characters>
  <Lines>17</Lines>
  <Paragraphs>4</Paragraphs>
  <TotalTime>228</TotalTime>
  <ScaleCrop>false</ScaleCrop>
  <LinksUpToDate>false</LinksUpToDate>
  <CharactersWithSpaces>2480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2017-07-12T07:27:00Z</dcterms:created>
  <dc:creator>小桃</dc:creator>
  <cp:lastModifiedBy>郑旭</cp:lastModifiedBy>
  <cp:lastPrinted>2018-05-08T06:25:00Z</cp:lastPrinted>
  <dcterms:modified xsi:type="dcterms:W3CDTF">2019-09-19T08:01:25Z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